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08378" w14:textId="0146A2CF" w:rsidR="00084CBA" w:rsidRDefault="008E583C" w:rsidP="00433049">
      <w:pPr>
        <w:pStyle w:val="Heading1"/>
      </w:pPr>
      <w:r w:rsidRPr="008B422C">
        <w:t xml:space="preserve">USU </w:t>
      </w:r>
      <w:r w:rsidRPr="00C05EA6">
        <w:t>Online</w:t>
      </w:r>
      <w:r w:rsidRPr="008B422C">
        <w:t xml:space="preserve"> </w:t>
      </w:r>
      <w:r w:rsidR="00C05EA6">
        <w:t xml:space="preserve">Course </w:t>
      </w:r>
      <w:r w:rsidRPr="008B422C">
        <w:rPr>
          <w:bCs/>
          <w:color w:val="2D4F8E" w:themeColor="accent1" w:themeShade="B5"/>
        </w:rPr>
        <w:t>Objectives</w:t>
      </w:r>
      <w:r w:rsidRPr="008B422C">
        <w:t xml:space="preserve"> </w:t>
      </w:r>
      <w:r w:rsidR="00C05EA6">
        <w:t>Worksheet</w:t>
      </w:r>
    </w:p>
    <w:p w14:paraId="7D6F8494" w14:textId="086C2CC0" w:rsidR="00E72DB0" w:rsidRDefault="008A05CE" w:rsidP="00433049">
      <w:pPr>
        <w:pStyle w:val="Heading2"/>
      </w:pPr>
      <w:r>
        <w:t xml:space="preserve">Overview: </w:t>
      </w:r>
      <w:r w:rsidR="0077167B">
        <w:t xml:space="preserve">Writing </w:t>
      </w:r>
      <w:r>
        <w:t>Excellent</w:t>
      </w:r>
      <w:r w:rsidR="0077167B">
        <w:t xml:space="preserve"> Objectives</w:t>
      </w:r>
    </w:p>
    <w:p w14:paraId="3A3E8BC5" w14:textId="45D068F7" w:rsidR="00996784" w:rsidRDefault="00F15399" w:rsidP="00996784">
      <w:r>
        <w:t>A learning objective is a statement of what students will be able to do when they have completed</w:t>
      </w:r>
      <w:r w:rsidR="00147E7D">
        <w:t xml:space="preserve"> </w:t>
      </w:r>
      <w:r>
        <w:t xml:space="preserve">instruction. </w:t>
      </w:r>
      <w:r w:rsidR="00D01B8E">
        <w:t xml:space="preserve"> </w:t>
      </w:r>
      <w:r>
        <w:t>A learning objective has three major components:</w:t>
      </w:r>
      <w:r w:rsidR="00FD4609">
        <w:t xml:space="preserve"> (1) </w:t>
      </w:r>
      <w:r>
        <w:t>A description of what the student will be able to do</w:t>
      </w:r>
      <w:r w:rsidR="00FD4609">
        <w:t xml:space="preserve">, (2) </w:t>
      </w:r>
      <w:r>
        <w:t>The conditions under which the student will perform the task</w:t>
      </w:r>
      <w:r w:rsidR="00FD4609">
        <w:t xml:space="preserve">, (3) </w:t>
      </w:r>
      <w:r>
        <w:t>The criteria for evaluating student performance</w:t>
      </w:r>
      <w:r w:rsidR="00FD4609">
        <w:t xml:space="preserve">.  </w:t>
      </w:r>
      <w:r w:rsidR="00996784">
        <w:t>Sometimes, one or even two of these elements will be easily implied by a simple statement. Other times, however, it may be necessary to clearly specify in detail each element of the objective.</w:t>
      </w:r>
    </w:p>
    <w:p w14:paraId="161962E4" w14:textId="6E8C4821" w:rsidR="001422A3" w:rsidRPr="004041BC" w:rsidRDefault="00D01B8E" w:rsidP="004041BC">
      <w:pPr>
        <w:rPr>
          <w:color w:val="595959" w:themeColor="text1" w:themeTint="A6"/>
          <w:sz w:val="21"/>
        </w:rPr>
      </w:pPr>
      <w:r w:rsidRPr="004041BC">
        <w:rPr>
          <w:color w:val="595959" w:themeColor="text1" w:themeTint="A6"/>
          <w:sz w:val="21"/>
        </w:rPr>
        <w:t xml:space="preserve">*Source: Writing Learning Objectives (1998) Raoul A. Arreola. </w:t>
      </w:r>
      <w:hyperlink r:id="rId5" w:history="1">
        <w:r w:rsidRPr="004041BC">
          <w:rPr>
            <w:rStyle w:val="Hyperlink"/>
            <w:color w:val="595959" w:themeColor="text1" w:themeTint="A6"/>
            <w:sz w:val="21"/>
          </w:rPr>
          <w:t>https://www.uwo.ca/tsc/graduate_student_programs/pdf/LearningObjectivesArreola.pdf</w:t>
        </w:r>
      </w:hyperlink>
      <w:r w:rsidRPr="004041BC">
        <w:rPr>
          <w:color w:val="595959" w:themeColor="text1" w:themeTint="A6"/>
          <w:sz w:val="21"/>
        </w:rPr>
        <w:t xml:space="preserve"> </w:t>
      </w:r>
    </w:p>
    <w:p w14:paraId="2EA8A046" w14:textId="77777777" w:rsidR="001422A3" w:rsidRPr="00332CCC" w:rsidRDefault="001422A3" w:rsidP="00433049">
      <w:pPr>
        <w:rPr>
          <w:color w:val="595959" w:themeColor="text1" w:themeTint="A6"/>
          <w:sz w:val="21"/>
        </w:rPr>
      </w:pPr>
    </w:p>
    <w:p w14:paraId="2E177BD8" w14:textId="0B2F5521" w:rsidR="00CE60E5" w:rsidRDefault="00831A22" w:rsidP="00433049">
      <w:r w:rsidRPr="00831A22">
        <w:t>To help you create your online course objectives, the Write Your Objectives worksheet table is below. To help you complete this worksheet, we have included some additional resources on the second page. The first resource is a table with action verbs based on Bloom’s taxonomy to help you keep your objectives focused on what students should do. The second resource contains the IDEA cate</w:t>
      </w:r>
      <w:bookmarkStart w:id="0" w:name="_GoBack"/>
      <w:bookmarkEnd w:id="0"/>
      <w:r w:rsidRPr="00831A22">
        <w:t>gories and objectives because your students will evaluate your course based on the IDEA objectives you identify, so it is good to note how your more specific course learning objectives align w</w:t>
      </w:r>
      <w:r>
        <w:t>ith the general IDEA objectives</w:t>
      </w:r>
      <w:r w:rsidR="00332CCC">
        <w:t>.</w:t>
      </w:r>
    </w:p>
    <w:p w14:paraId="328FF19D" w14:textId="77777777" w:rsidR="00CE60E5" w:rsidRDefault="00CE60E5" w:rsidP="00433049"/>
    <w:p w14:paraId="02B8CD92" w14:textId="77777777" w:rsidR="00CE60E5" w:rsidRPr="00E72DB0" w:rsidRDefault="00CE60E5" w:rsidP="00CE60E5">
      <w:pPr>
        <w:pStyle w:val="Heading2"/>
      </w:pPr>
      <w:r>
        <w:t xml:space="preserve">Write Your </w:t>
      </w:r>
      <w:r w:rsidRPr="00E72DB0">
        <w:t>Objectives</w:t>
      </w:r>
    </w:p>
    <w:tbl>
      <w:tblPr>
        <w:tblStyle w:val="TableGrid"/>
        <w:tblW w:w="14079" w:type="dxa"/>
        <w:tblInd w:w="226" w:type="dxa"/>
        <w:tblLayout w:type="fixed"/>
        <w:tblLook w:val="04A0" w:firstRow="1" w:lastRow="0" w:firstColumn="1" w:lastColumn="0" w:noHBand="0" w:noVBand="1"/>
      </w:tblPr>
      <w:tblGrid>
        <w:gridCol w:w="1839"/>
        <w:gridCol w:w="3060"/>
        <w:gridCol w:w="3150"/>
        <w:gridCol w:w="2970"/>
        <w:gridCol w:w="3060"/>
      </w:tblGrid>
      <w:tr w:rsidR="00CE60E5" w:rsidRPr="00696D2B" w14:paraId="7D6DB5BD" w14:textId="77777777" w:rsidTr="00683F3C">
        <w:trPr>
          <w:trHeight w:val="512"/>
        </w:trPr>
        <w:tc>
          <w:tcPr>
            <w:tcW w:w="1839" w:type="dxa"/>
            <w:tcBorders>
              <w:right w:val="double" w:sz="4" w:space="0" w:color="000000"/>
            </w:tcBorders>
          </w:tcPr>
          <w:p w14:paraId="2BF5DE45" w14:textId="11C7ABE2" w:rsidR="00CE60E5" w:rsidRDefault="00CE60E5" w:rsidP="00683F3C">
            <w:pPr>
              <w:rPr>
                <w:b/>
              </w:rPr>
            </w:pPr>
            <w:r w:rsidRPr="00433049">
              <w:rPr>
                <w:b/>
              </w:rPr>
              <w:t>Goal</w:t>
            </w:r>
          </w:p>
          <w:p w14:paraId="06B31370" w14:textId="78151CBC" w:rsidR="00F15399" w:rsidRPr="00433049" w:rsidRDefault="00F15399" w:rsidP="00F15399">
            <w:pPr>
              <w:rPr>
                <w:b/>
              </w:rPr>
            </w:pPr>
            <w:r>
              <w:rPr>
                <w:sz w:val="21"/>
                <w:szCs w:val="21"/>
              </w:rPr>
              <w:t>G</w:t>
            </w:r>
            <w:r w:rsidRPr="00F15399">
              <w:rPr>
                <w:sz w:val="21"/>
                <w:szCs w:val="21"/>
              </w:rPr>
              <w:t xml:space="preserve">eneral outcome </w:t>
            </w:r>
          </w:p>
        </w:tc>
        <w:tc>
          <w:tcPr>
            <w:tcW w:w="3060" w:type="dxa"/>
            <w:tcBorders>
              <w:left w:val="double" w:sz="4" w:space="0" w:color="000000"/>
            </w:tcBorders>
          </w:tcPr>
          <w:p w14:paraId="1EFD76C9" w14:textId="77777777" w:rsidR="00CE60E5" w:rsidRPr="00433049" w:rsidRDefault="00CE60E5" w:rsidP="00683F3C">
            <w:pPr>
              <w:rPr>
                <w:b/>
              </w:rPr>
            </w:pPr>
            <w:r w:rsidRPr="00433049">
              <w:rPr>
                <w:b/>
              </w:rPr>
              <w:t>Condition</w:t>
            </w:r>
          </w:p>
          <w:p w14:paraId="7CC2BF11" w14:textId="77777777" w:rsidR="00CE60E5" w:rsidRPr="00433049" w:rsidRDefault="00CE60E5" w:rsidP="00683F3C">
            <w:pPr>
              <w:rPr>
                <w:sz w:val="21"/>
                <w:szCs w:val="21"/>
              </w:rPr>
            </w:pPr>
            <w:r w:rsidRPr="00433049">
              <w:rPr>
                <w:sz w:val="21"/>
                <w:szCs w:val="21"/>
              </w:rPr>
              <w:t>How they will be able to do it</w:t>
            </w:r>
          </w:p>
        </w:tc>
        <w:tc>
          <w:tcPr>
            <w:tcW w:w="3150" w:type="dxa"/>
          </w:tcPr>
          <w:p w14:paraId="5628E0A7" w14:textId="77777777" w:rsidR="00CE60E5" w:rsidRPr="00433049" w:rsidRDefault="00CE60E5" w:rsidP="00683F3C">
            <w:pPr>
              <w:rPr>
                <w:b/>
              </w:rPr>
            </w:pPr>
            <w:r w:rsidRPr="00433049">
              <w:rPr>
                <w:b/>
              </w:rPr>
              <w:t>Behavior</w:t>
            </w:r>
          </w:p>
          <w:p w14:paraId="793F576F" w14:textId="77777777" w:rsidR="00CE60E5" w:rsidRPr="008A05CE" w:rsidRDefault="00CE60E5" w:rsidP="00683F3C">
            <w:r w:rsidRPr="00433049">
              <w:rPr>
                <w:sz w:val="21"/>
                <w:szCs w:val="21"/>
              </w:rPr>
              <w:t>What students will be able to do?</w:t>
            </w:r>
          </w:p>
        </w:tc>
        <w:tc>
          <w:tcPr>
            <w:tcW w:w="2970" w:type="dxa"/>
            <w:tcBorders>
              <w:right w:val="double" w:sz="4" w:space="0" w:color="000000"/>
            </w:tcBorders>
          </w:tcPr>
          <w:p w14:paraId="0E0A2554" w14:textId="77777777" w:rsidR="00CE60E5" w:rsidRPr="00433049" w:rsidRDefault="00CE60E5" w:rsidP="00683F3C">
            <w:pPr>
              <w:rPr>
                <w:b/>
              </w:rPr>
            </w:pPr>
            <w:r w:rsidRPr="00433049">
              <w:rPr>
                <w:b/>
              </w:rPr>
              <w:t>Criterion</w:t>
            </w:r>
          </w:p>
          <w:p w14:paraId="3646BF7D" w14:textId="77777777" w:rsidR="00CE60E5" w:rsidRPr="008A05CE" w:rsidRDefault="00CE60E5" w:rsidP="00683F3C">
            <w:r w:rsidRPr="00433049">
              <w:rPr>
                <w:sz w:val="21"/>
                <w:szCs w:val="21"/>
              </w:rPr>
              <w:t>Degree of accuracy observed</w:t>
            </w:r>
          </w:p>
        </w:tc>
        <w:tc>
          <w:tcPr>
            <w:tcW w:w="3060" w:type="dxa"/>
            <w:tcBorders>
              <w:left w:val="double" w:sz="4" w:space="0" w:color="000000"/>
            </w:tcBorders>
          </w:tcPr>
          <w:p w14:paraId="532CEC2F" w14:textId="77777777" w:rsidR="00CE60E5" w:rsidRPr="00433049" w:rsidRDefault="00CE60E5" w:rsidP="00683F3C">
            <w:pPr>
              <w:rPr>
                <w:b/>
              </w:rPr>
            </w:pPr>
            <w:r w:rsidRPr="00433049">
              <w:rPr>
                <w:b/>
              </w:rPr>
              <w:t>IDEA objective alignment</w:t>
            </w:r>
          </w:p>
        </w:tc>
      </w:tr>
      <w:tr w:rsidR="00CE60E5" w:rsidRPr="00696D2B" w14:paraId="3BACDA3D" w14:textId="77777777" w:rsidTr="00683F3C">
        <w:tc>
          <w:tcPr>
            <w:tcW w:w="1839" w:type="dxa"/>
            <w:tcBorders>
              <w:right w:val="double" w:sz="4" w:space="0" w:color="000000"/>
            </w:tcBorders>
          </w:tcPr>
          <w:p w14:paraId="74E21EB9" w14:textId="77777777" w:rsidR="00CE60E5" w:rsidRPr="00433049" w:rsidRDefault="00CE60E5" w:rsidP="00683F3C">
            <w:pPr>
              <w:rPr>
                <w:i/>
                <w:color w:val="7F7F7F" w:themeColor="text1" w:themeTint="80"/>
                <w:sz w:val="20"/>
              </w:rPr>
            </w:pPr>
            <w:r w:rsidRPr="00433049">
              <w:rPr>
                <w:i/>
                <w:color w:val="7F7F7F" w:themeColor="text1" w:themeTint="80"/>
                <w:sz w:val="20"/>
              </w:rPr>
              <w:t>Understand the Main Rock Types</w:t>
            </w:r>
          </w:p>
        </w:tc>
        <w:tc>
          <w:tcPr>
            <w:tcW w:w="3060" w:type="dxa"/>
            <w:tcBorders>
              <w:left w:val="double" w:sz="4" w:space="0" w:color="000000"/>
            </w:tcBorders>
          </w:tcPr>
          <w:p w14:paraId="21C1A435" w14:textId="77777777" w:rsidR="00CE60E5" w:rsidRPr="00433049" w:rsidRDefault="00CE60E5" w:rsidP="00683F3C">
            <w:pPr>
              <w:rPr>
                <w:i/>
                <w:color w:val="7F7F7F" w:themeColor="text1" w:themeTint="80"/>
                <w:sz w:val="20"/>
              </w:rPr>
            </w:pPr>
            <w:r w:rsidRPr="00433049">
              <w:rPr>
                <w:i/>
                <w:color w:val="7F7F7F" w:themeColor="text1" w:themeTint="80"/>
                <w:sz w:val="20"/>
              </w:rPr>
              <w:t>Given twenty minutes of instruction and a lab exercise,</w:t>
            </w:r>
          </w:p>
        </w:tc>
        <w:tc>
          <w:tcPr>
            <w:tcW w:w="3150" w:type="dxa"/>
          </w:tcPr>
          <w:p w14:paraId="1CC5489E" w14:textId="77777777" w:rsidR="00CE60E5" w:rsidRPr="00433049" w:rsidRDefault="00CE60E5" w:rsidP="00683F3C">
            <w:pPr>
              <w:rPr>
                <w:i/>
                <w:color w:val="7F7F7F" w:themeColor="text1" w:themeTint="80"/>
                <w:sz w:val="20"/>
              </w:rPr>
            </w:pPr>
            <w:r w:rsidRPr="00433049">
              <w:rPr>
                <w:i/>
                <w:color w:val="7F7F7F" w:themeColor="text1" w:themeTint="80"/>
                <w:sz w:val="20"/>
              </w:rPr>
              <w:t>identify igneous, metamorphic, and sedimentary rocks</w:t>
            </w:r>
          </w:p>
        </w:tc>
        <w:tc>
          <w:tcPr>
            <w:tcW w:w="2970" w:type="dxa"/>
            <w:tcBorders>
              <w:right w:val="double" w:sz="4" w:space="0" w:color="000000"/>
            </w:tcBorders>
          </w:tcPr>
          <w:p w14:paraId="577F9430" w14:textId="77777777" w:rsidR="00CE60E5" w:rsidRPr="00433049" w:rsidRDefault="00CE60E5" w:rsidP="00683F3C">
            <w:pPr>
              <w:rPr>
                <w:i/>
                <w:color w:val="7F7F7F" w:themeColor="text1" w:themeTint="80"/>
                <w:sz w:val="20"/>
              </w:rPr>
            </w:pPr>
            <w:r w:rsidRPr="00433049">
              <w:rPr>
                <w:i/>
                <w:color w:val="7F7F7F" w:themeColor="text1" w:themeTint="80"/>
                <w:sz w:val="20"/>
              </w:rPr>
              <w:t>with at least 80% accuracy</w:t>
            </w:r>
          </w:p>
        </w:tc>
        <w:tc>
          <w:tcPr>
            <w:tcW w:w="3060" w:type="dxa"/>
            <w:tcBorders>
              <w:left w:val="double" w:sz="4" w:space="0" w:color="000000"/>
            </w:tcBorders>
          </w:tcPr>
          <w:p w14:paraId="5464D785" w14:textId="64FD82EC" w:rsidR="00CE60E5" w:rsidRPr="00433049" w:rsidRDefault="00AD6765" w:rsidP="00683F3C">
            <w:pPr>
              <w:rPr>
                <w:i/>
                <w:color w:val="7F7F7F" w:themeColor="text1" w:themeTint="80"/>
                <w:sz w:val="20"/>
              </w:rPr>
            </w:pPr>
            <w:r>
              <w:rPr>
                <w:i/>
                <w:color w:val="7F7F7F" w:themeColor="text1" w:themeTint="80"/>
                <w:sz w:val="20"/>
              </w:rPr>
              <w:t xml:space="preserve">1. </w:t>
            </w:r>
            <w:r w:rsidR="00CE60E5" w:rsidRPr="00433049">
              <w:rPr>
                <w:i/>
                <w:color w:val="7F7F7F" w:themeColor="text1" w:themeTint="80"/>
                <w:sz w:val="20"/>
              </w:rPr>
              <w:t>Gain factual knowledge (classification)</w:t>
            </w:r>
          </w:p>
        </w:tc>
      </w:tr>
      <w:tr w:rsidR="00AD6765" w:rsidRPr="00696D2B" w14:paraId="2BDAF036" w14:textId="77777777" w:rsidTr="00683F3C">
        <w:tc>
          <w:tcPr>
            <w:tcW w:w="1839" w:type="dxa"/>
            <w:tcBorders>
              <w:right w:val="double" w:sz="4" w:space="0" w:color="000000"/>
            </w:tcBorders>
          </w:tcPr>
          <w:p w14:paraId="22ED371A" w14:textId="528FEACE" w:rsidR="00AD6765" w:rsidRPr="00433049" w:rsidRDefault="00AD6765" w:rsidP="00683F3C">
            <w:pPr>
              <w:rPr>
                <w:i/>
                <w:color w:val="7F7F7F" w:themeColor="text1" w:themeTint="80"/>
                <w:sz w:val="20"/>
              </w:rPr>
            </w:pPr>
            <w:r>
              <w:rPr>
                <w:i/>
                <w:color w:val="7F7F7F" w:themeColor="text1" w:themeTint="80"/>
                <w:sz w:val="20"/>
              </w:rPr>
              <w:t>Write a Business Memo</w:t>
            </w:r>
          </w:p>
        </w:tc>
        <w:tc>
          <w:tcPr>
            <w:tcW w:w="3060" w:type="dxa"/>
            <w:tcBorders>
              <w:left w:val="double" w:sz="4" w:space="0" w:color="000000"/>
            </w:tcBorders>
          </w:tcPr>
          <w:p w14:paraId="0167B2B9" w14:textId="0170492C" w:rsidR="00AD6765" w:rsidRPr="00433049" w:rsidRDefault="00AD6765" w:rsidP="00683F3C">
            <w:pPr>
              <w:rPr>
                <w:i/>
                <w:color w:val="7F7F7F" w:themeColor="text1" w:themeTint="80"/>
                <w:sz w:val="20"/>
              </w:rPr>
            </w:pPr>
            <w:r>
              <w:rPr>
                <w:i/>
                <w:color w:val="7F7F7F" w:themeColor="text1" w:themeTint="80"/>
                <w:sz w:val="20"/>
              </w:rPr>
              <w:t>Given word-processing software and a standard business scenario,</w:t>
            </w:r>
          </w:p>
        </w:tc>
        <w:tc>
          <w:tcPr>
            <w:tcW w:w="3150" w:type="dxa"/>
          </w:tcPr>
          <w:p w14:paraId="02400142" w14:textId="47ADF75E" w:rsidR="00AD6765" w:rsidRPr="00433049" w:rsidRDefault="00AD6765" w:rsidP="00AD6765">
            <w:pPr>
              <w:rPr>
                <w:i/>
                <w:color w:val="7F7F7F" w:themeColor="text1" w:themeTint="80"/>
                <w:sz w:val="20"/>
              </w:rPr>
            </w:pPr>
            <w:r>
              <w:rPr>
                <w:i/>
                <w:color w:val="7F7F7F" w:themeColor="text1" w:themeTint="80"/>
                <w:sz w:val="20"/>
              </w:rPr>
              <w:t xml:space="preserve">create a standard business memo </w:t>
            </w:r>
          </w:p>
        </w:tc>
        <w:tc>
          <w:tcPr>
            <w:tcW w:w="2970" w:type="dxa"/>
            <w:tcBorders>
              <w:right w:val="double" w:sz="4" w:space="0" w:color="000000"/>
            </w:tcBorders>
          </w:tcPr>
          <w:p w14:paraId="6C7CEE3B" w14:textId="513FDEEE" w:rsidR="00AD6765" w:rsidRPr="00433049" w:rsidRDefault="00AD6765" w:rsidP="00AD6765">
            <w:pPr>
              <w:rPr>
                <w:i/>
                <w:color w:val="7F7F7F" w:themeColor="text1" w:themeTint="80"/>
                <w:sz w:val="20"/>
              </w:rPr>
            </w:pPr>
            <w:r>
              <w:rPr>
                <w:i/>
                <w:color w:val="7F7F7F" w:themeColor="text1" w:themeTint="80"/>
                <w:sz w:val="20"/>
              </w:rPr>
              <w:t>with correct spacing, margins, salutations, and grammar.</w:t>
            </w:r>
          </w:p>
        </w:tc>
        <w:tc>
          <w:tcPr>
            <w:tcW w:w="3060" w:type="dxa"/>
            <w:tcBorders>
              <w:left w:val="double" w:sz="4" w:space="0" w:color="000000"/>
            </w:tcBorders>
          </w:tcPr>
          <w:p w14:paraId="0FCC4E0D" w14:textId="5B07ACD5" w:rsidR="00AD6765" w:rsidRPr="00433049" w:rsidRDefault="00114B17" w:rsidP="0091026A">
            <w:pPr>
              <w:rPr>
                <w:i/>
                <w:color w:val="7F7F7F" w:themeColor="text1" w:themeTint="80"/>
                <w:sz w:val="20"/>
              </w:rPr>
            </w:pPr>
            <w:r>
              <w:rPr>
                <w:i/>
                <w:color w:val="7F7F7F" w:themeColor="text1" w:themeTint="80"/>
                <w:sz w:val="20"/>
              </w:rPr>
              <w:t>4. Develop</w:t>
            </w:r>
            <w:r w:rsidR="00AD6765" w:rsidRPr="00AD6765">
              <w:rPr>
                <w:i/>
                <w:color w:val="7F7F7F" w:themeColor="text1" w:themeTint="80"/>
                <w:sz w:val="20"/>
              </w:rPr>
              <w:t xml:space="preserve"> specific </w:t>
            </w:r>
            <w:r w:rsidR="0091026A">
              <w:rPr>
                <w:i/>
                <w:color w:val="7F7F7F" w:themeColor="text1" w:themeTint="80"/>
                <w:sz w:val="20"/>
              </w:rPr>
              <w:t>competen</w:t>
            </w:r>
            <w:r>
              <w:rPr>
                <w:i/>
                <w:color w:val="7F7F7F" w:themeColor="text1" w:themeTint="80"/>
                <w:sz w:val="20"/>
              </w:rPr>
              <w:t xml:space="preserve">cies </w:t>
            </w:r>
            <w:r w:rsidR="00AD6765" w:rsidRPr="00AD6765">
              <w:rPr>
                <w:i/>
                <w:color w:val="7F7F7F" w:themeColor="text1" w:themeTint="80"/>
                <w:sz w:val="20"/>
              </w:rPr>
              <w:t>needed by professionals</w:t>
            </w:r>
          </w:p>
        </w:tc>
      </w:tr>
      <w:tr w:rsidR="00AD6765" w:rsidRPr="00696D2B" w14:paraId="2C01052E" w14:textId="77777777" w:rsidTr="00683F3C">
        <w:trPr>
          <w:trHeight w:val="813"/>
        </w:trPr>
        <w:tc>
          <w:tcPr>
            <w:tcW w:w="1839" w:type="dxa"/>
            <w:tcBorders>
              <w:right w:val="double" w:sz="4" w:space="0" w:color="000000"/>
            </w:tcBorders>
          </w:tcPr>
          <w:p w14:paraId="713D3697" w14:textId="77777777" w:rsidR="00AD6765" w:rsidRPr="008B422C" w:rsidRDefault="00AD6765" w:rsidP="00683F3C"/>
        </w:tc>
        <w:tc>
          <w:tcPr>
            <w:tcW w:w="3060" w:type="dxa"/>
            <w:tcBorders>
              <w:left w:val="double" w:sz="4" w:space="0" w:color="000000"/>
            </w:tcBorders>
          </w:tcPr>
          <w:p w14:paraId="5464364A" w14:textId="77777777" w:rsidR="00AD6765" w:rsidRPr="008B422C" w:rsidRDefault="00AD6765" w:rsidP="00683F3C"/>
        </w:tc>
        <w:tc>
          <w:tcPr>
            <w:tcW w:w="3150" w:type="dxa"/>
          </w:tcPr>
          <w:p w14:paraId="2383A367" w14:textId="77777777" w:rsidR="00AD6765" w:rsidRPr="008B422C" w:rsidRDefault="00AD6765" w:rsidP="00683F3C"/>
        </w:tc>
        <w:tc>
          <w:tcPr>
            <w:tcW w:w="2970" w:type="dxa"/>
            <w:tcBorders>
              <w:right w:val="double" w:sz="4" w:space="0" w:color="000000"/>
            </w:tcBorders>
          </w:tcPr>
          <w:p w14:paraId="0C207D30" w14:textId="77777777" w:rsidR="00AD6765" w:rsidRPr="008B422C" w:rsidRDefault="00AD6765" w:rsidP="00683F3C"/>
        </w:tc>
        <w:tc>
          <w:tcPr>
            <w:tcW w:w="3060" w:type="dxa"/>
            <w:tcBorders>
              <w:left w:val="double" w:sz="4" w:space="0" w:color="000000"/>
            </w:tcBorders>
          </w:tcPr>
          <w:p w14:paraId="556F5AF3" w14:textId="77777777" w:rsidR="00AD6765" w:rsidRPr="008B422C" w:rsidRDefault="00AD6765" w:rsidP="00683F3C"/>
        </w:tc>
      </w:tr>
      <w:tr w:rsidR="00AD6765" w:rsidRPr="00696D2B" w14:paraId="28C45039" w14:textId="77777777" w:rsidTr="00683F3C">
        <w:trPr>
          <w:trHeight w:val="813"/>
        </w:trPr>
        <w:tc>
          <w:tcPr>
            <w:tcW w:w="1839" w:type="dxa"/>
            <w:tcBorders>
              <w:right w:val="double" w:sz="4" w:space="0" w:color="000000"/>
            </w:tcBorders>
          </w:tcPr>
          <w:p w14:paraId="3E307494" w14:textId="77777777" w:rsidR="00AD6765" w:rsidRPr="008B422C" w:rsidRDefault="00AD6765" w:rsidP="00683F3C"/>
        </w:tc>
        <w:tc>
          <w:tcPr>
            <w:tcW w:w="3060" w:type="dxa"/>
            <w:tcBorders>
              <w:left w:val="double" w:sz="4" w:space="0" w:color="000000"/>
            </w:tcBorders>
          </w:tcPr>
          <w:p w14:paraId="63F51473" w14:textId="77777777" w:rsidR="00AD6765" w:rsidRPr="008B422C" w:rsidRDefault="00AD6765" w:rsidP="00683F3C"/>
        </w:tc>
        <w:tc>
          <w:tcPr>
            <w:tcW w:w="3150" w:type="dxa"/>
          </w:tcPr>
          <w:p w14:paraId="4C1E72F1" w14:textId="77777777" w:rsidR="00AD6765" w:rsidRPr="008B422C" w:rsidRDefault="00AD6765" w:rsidP="00683F3C"/>
        </w:tc>
        <w:tc>
          <w:tcPr>
            <w:tcW w:w="2970" w:type="dxa"/>
            <w:tcBorders>
              <w:right w:val="double" w:sz="4" w:space="0" w:color="000000"/>
            </w:tcBorders>
          </w:tcPr>
          <w:p w14:paraId="472C685C" w14:textId="77777777" w:rsidR="00AD6765" w:rsidRPr="008B422C" w:rsidRDefault="00AD6765" w:rsidP="00683F3C"/>
        </w:tc>
        <w:tc>
          <w:tcPr>
            <w:tcW w:w="3060" w:type="dxa"/>
            <w:tcBorders>
              <w:left w:val="double" w:sz="4" w:space="0" w:color="000000"/>
            </w:tcBorders>
          </w:tcPr>
          <w:p w14:paraId="0DAC5EFA" w14:textId="77777777" w:rsidR="00AD6765" w:rsidRPr="008B422C" w:rsidRDefault="00AD6765" w:rsidP="00683F3C"/>
        </w:tc>
      </w:tr>
      <w:tr w:rsidR="00AD6765" w:rsidRPr="00696D2B" w14:paraId="74A3DF83" w14:textId="77777777" w:rsidTr="00683F3C">
        <w:trPr>
          <w:trHeight w:val="845"/>
        </w:trPr>
        <w:tc>
          <w:tcPr>
            <w:tcW w:w="1839" w:type="dxa"/>
            <w:tcBorders>
              <w:right w:val="double" w:sz="4" w:space="0" w:color="000000"/>
            </w:tcBorders>
          </w:tcPr>
          <w:p w14:paraId="0E46656A" w14:textId="77777777" w:rsidR="00AD6765" w:rsidRPr="008B422C" w:rsidRDefault="00AD6765" w:rsidP="00683F3C"/>
        </w:tc>
        <w:tc>
          <w:tcPr>
            <w:tcW w:w="3060" w:type="dxa"/>
            <w:tcBorders>
              <w:left w:val="double" w:sz="4" w:space="0" w:color="000000"/>
            </w:tcBorders>
          </w:tcPr>
          <w:p w14:paraId="3DAD4AA8" w14:textId="77777777" w:rsidR="00AD6765" w:rsidRPr="008B422C" w:rsidRDefault="00AD6765" w:rsidP="00683F3C"/>
        </w:tc>
        <w:tc>
          <w:tcPr>
            <w:tcW w:w="3150" w:type="dxa"/>
          </w:tcPr>
          <w:p w14:paraId="3C15DCE2" w14:textId="77777777" w:rsidR="00AD6765" w:rsidRPr="008B422C" w:rsidRDefault="00AD6765" w:rsidP="00683F3C"/>
        </w:tc>
        <w:tc>
          <w:tcPr>
            <w:tcW w:w="2970" w:type="dxa"/>
            <w:tcBorders>
              <w:right w:val="double" w:sz="4" w:space="0" w:color="000000"/>
            </w:tcBorders>
          </w:tcPr>
          <w:p w14:paraId="2DC79961" w14:textId="77777777" w:rsidR="00AD6765" w:rsidRPr="008B422C" w:rsidRDefault="00AD6765" w:rsidP="00683F3C"/>
        </w:tc>
        <w:tc>
          <w:tcPr>
            <w:tcW w:w="3060" w:type="dxa"/>
            <w:tcBorders>
              <w:left w:val="double" w:sz="4" w:space="0" w:color="000000"/>
            </w:tcBorders>
          </w:tcPr>
          <w:p w14:paraId="5D53D875" w14:textId="77777777" w:rsidR="00AD6765" w:rsidRPr="008B422C" w:rsidRDefault="00AD6765" w:rsidP="00683F3C"/>
        </w:tc>
      </w:tr>
      <w:tr w:rsidR="00AD6765" w:rsidRPr="00696D2B" w14:paraId="742B7CDD" w14:textId="77777777" w:rsidTr="00683F3C">
        <w:trPr>
          <w:trHeight w:val="813"/>
        </w:trPr>
        <w:tc>
          <w:tcPr>
            <w:tcW w:w="1839" w:type="dxa"/>
            <w:tcBorders>
              <w:right w:val="double" w:sz="4" w:space="0" w:color="000000"/>
            </w:tcBorders>
          </w:tcPr>
          <w:p w14:paraId="4DC28AB7" w14:textId="77777777" w:rsidR="00AD6765" w:rsidRPr="008B422C" w:rsidRDefault="00AD6765" w:rsidP="00683F3C"/>
        </w:tc>
        <w:tc>
          <w:tcPr>
            <w:tcW w:w="3060" w:type="dxa"/>
            <w:tcBorders>
              <w:left w:val="double" w:sz="4" w:space="0" w:color="000000"/>
            </w:tcBorders>
          </w:tcPr>
          <w:p w14:paraId="3B507E80" w14:textId="77777777" w:rsidR="00AD6765" w:rsidRPr="008B422C" w:rsidRDefault="00AD6765" w:rsidP="00683F3C"/>
        </w:tc>
        <w:tc>
          <w:tcPr>
            <w:tcW w:w="3150" w:type="dxa"/>
          </w:tcPr>
          <w:p w14:paraId="1A11BD2F" w14:textId="77777777" w:rsidR="00AD6765" w:rsidRPr="008B422C" w:rsidRDefault="00AD6765" w:rsidP="00683F3C"/>
        </w:tc>
        <w:tc>
          <w:tcPr>
            <w:tcW w:w="2970" w:type="dxa"/>
            <w:tcBorders>
              <w:right w:val="double" w:sz="4" w:space="0" w:color="000000"/>
            </w:tcBorders>
          </w:tcPr>
          <w:p w14:paraId="35936EE5" w14:textId="77777777" w:rsidR="00AD6765" w:rsidRPr="008B422C" w:rsidRDefault="00AD6765" w:rsidP="00683F3C"/>
        </w:tc>
        <w:tc>
          <w:tcPr>
            <w:tcW w:w="3060" w:type="dxa"/>
            <w:tcBorders>
              <w:left w:val="double" w:sz="4" w:space="0" w:color="000000"/>
            </w:tcBorders>
          </w:tcPr>
          <w:p w14:paraId="74121138" w14:textId="77777777" w:rsidR="00AD6765" w:rsidRPr="008B422C" w:rsidRDefault="00AD6765" w:rsidP="00683F3C"/>
        </w:tc>
      </w:tr>
      <w:tr w:rsidR="00AD6765" w:rsidRPr="00696D2B" w14:paraId="34B9EE90" w14:textId="77777777" w:rsidTr="00683F3C">
        <w:trPr>
          <w:trHeight w:val="813"/>
        </w:trPr>
        <w:tc>
          <w:tcPr>
            <w:tcW w:w="1839" w:type="dxa"/>
            <w:tcBorders>
              <w:right w:val="double" w:sz="4" w:space="0" w:color="000000"/>
            </w:tcBorders>
          </w:tcPr>
          <w:p w14:paraId="43621D4D" w14:textId="77777777" w:rsidR="00AD6765" w:rsidRPr="008B422C" w:rsidRDefault="00AD6765" w:rsidP="00683F3C"/>
        </w:tc>
        <w:tc>
          <w:tcPr>
            <w:tcW w:w="3060" w:type="dxa"/>
            <w:tcBorders>
              <w:left w:val="double" w:sz="4" w:space="0" w:color="000000"/>
            </w:tcBorders>
          </w:tcPr>
          <w:p w14:paraId="260AE5EC" w14:textId="77777777" w:rsidR="00AD6765" w:rsidRPr="008B422C" w:rsidRDefault="00AD6765" w:rsidP="00683F3C"/>
        </w:tc>
        <w:tc>
          <w:tcPr>
            <w:tcW w:w="3150" w:type="dxa"/>
          </w:tcPr>
          <w:p w14:paraId="0B234523" w14:textId="77777777" w:rsidR="00AD6765" w:rsidRPr="008B422C" w:rsidRDefault="00AD6765" w:rsidP="00683F3C"/>
        </w:tc>
        <w:tc>
          <w:tcPr>
            <w:tcW w:w="2970" w:type="dxa"/>
            <w:tcBorders>
              <w:right w:val="double" w:sz="4" w:space="0" w:color="000000"/>
            </w:tcBorders>
          </w:tcPr>
          <w:p w14:paraId="631FFE3E" w14:textId="77777777" w:rsidR="00AD6765" w:rsidRPr="008B422C" w:rsidRDefault="00AD6765" w:rsidP="00683F3C"/>
        </w:tc>
        <w:tc>
          <w:tcPr>
            <w:tcW w:w="3060" w:type="dxa"/>
            <w:tcBorders>
              <w:left w:val="double" w:sz="4" w:space="0" w:color="000000"/>
            </w:tcBorders>
          </w:tcPr>
          <w:p w14:paraId="5D698902" w14:textId="77777777" w:rsidR="00AD6765" w:rsidRPr="008B422C" w:rsidRDefault="00AD6765" w:rsidP="00683F3C"/>
        </w:tc>
      </w:tr>
      <w:tr w:rsidR="002C2368" w:rsidRPr="00696D2B" w14:paraId="4C247292" w14:textId="77777777" w:rsidTr="00683F3C">
        <w:trPr>
          <w:trHeight w:val="813"/>
        </w:trPr>
        <w:tc>
          <w:tcPr>
            <w:tcW w:w="1839" w:type="dxa"/>
            <w:tcBorders>
              <w:right w:val="double" w:sz="4" w:space="0" w:color="000000"/>
            </w:tcBorders>
          </w:tcPr>
          <w:p w14:paraId="278FD145" w14:textId="77777777" w:rsidR="002C2368" w:rsidRPr="008B422C" w:rsidRDefault="002C2368" w:rsidP="00683F3C"/>
        </w:tc>
        <w:tc>
          <w:tcPr>
            <w:tcW w:w="3060" w:type="dxa"/>
            <w:tcBorders>
              <w:left w:val="double" w:sz="4" w:space="0" w:color="000000"/>
            </w:tcBorders>
          </w:tcPr>
          <w:p w14:paraId="535C1CC8" w14:textId="77777777" w:rsidR="002C2368" w:rsidRPr="008B422C" w:rsidRDefault="002C2368" w:rsidP="00683F3C"/>
        </w:tc>
        <w:tc>
          <w:tcPr>
            <w:tcW w:w="3150" w:type="dxa"/>
          </w:tcPr>
          <w:p w14:paraId="0FC900E5" w14:textId="77777777" w:rsidR="002C2368" w:rsidRPr="008B422C" w:rsidRDefault="002C2368" w:rsidP="00683F3C"/>
        </w:tc>
        <w:tc>
          <w:tcPr>
            <w:tcW w:w="2970" w:type="dxa"/>
            <w:tcBorders>
              <w:right w:val="double" w:sz="4" w:space="0" w:color="000000"/>
            </w:tcBorders>
          </w:tcPr>
          <w:p w14:paraId="2D341BAC" w14:textId="77777777" w:rsidR="002C2368" w:rsidRPr="008B422C" w:rsidRDefault="002C2368" w:rsidP="00683F3C"/>
        </w:tc>
        <w:tc>
          <w:tcPr>
            <w:tcW w:w="3060" w:type="dxa"/>
            <w:tcBorders>
              <w:left w:val="double" w:sz="4" w:space="0" w:color="000000"/>
            </w:tcBorders>
          </w:tcPr>
          <w:p w14:paraId="43165E17" w14:textId="77777777" w:rsidR="002C2368" w:rsidRPr="008B422C" w:rsidRDefault="002C2368" w:rsidP="00683F3C"/>
        </w:tc>
      </w:tr>
    </w:tbl>
    <w:p w14:paraId="7967CAC5" w14:textId="1544A5AA" w:rsidR="00433049" w:rsidRDefault="00CE60E5" w:rsidP="00433049">
      <w:pPr>
        <w:rPr>
          <w:rStyle w:val="Heading2Char"/>
        </w:rPr>
      </w:pPr>
      <w:r>
        <w:br w:type="column"/>
      </w:r>
      <w:r w:rsidR="00E72DB0" w:rsidRPr="00E72DB0">
        <w:rPr>
          <w:rStyle w:val="Heading2Char"/>
        </w:rPr>
        <w:lastRenderedPageBreak/>
        <w:t>Bloom’s Taxonomy Learning Objective Verbs</w:t>
      </w:r>
      <w:r w:rsidR="00433049">
        <w:rPr>
          <w:rStyle w:val="Heading2Char"/>
        </w:rPr>
        <w:t xml:space="preserve"> </w:t>
      </w:r>
    </w:p>
    <w:p w14:paraId="7FC6093E" w14:textId="662DC1DD" w:rsidR="006523E7" w:rsidRPr="006523E7" w:rsidRDefault="006523E7" w:rsidP="006523E7">
      <w:pPr>
        <w:pStyle w:val="NoSpacing"/>
      </w:pPr>
    </w:p>
    <w:tbl>
      <w:tblPr>
        <w:tblStyle w:val="TableGrid"/>
        <w:tblW w:w="13956" w:type="dxa"/>
        <w:tblInd w:w="221" w:type="dxa"/>
        <w:tblLayout w:type="fixed"/>
        <w:tblLook w:val="04A0" w:firstRow="1" w:lastRow="0" w:firstColumn="1" w:lastColumn="0" w:noHBand="0" w:noVBand="1"/>
      </w:tblPr>
      <w:tblGrid>
        <w:gridCol w:w="1664"/>
        <w:gridCol w:w="3278"/>
        <w:gridCol w:w="9014"/>
      </w:tblGrid>
      <w:tr w:rsidR="007B4FD2" w:rsidRPr="00433049" w14:paraId="3FC6AFED" w14:textId="77777777" w:rsidTr="007B4FD2">
        <w:trPr>
          <w:trHeight w:val="300"/>
        </w:trPr>
        <w:tc>
          <w:tcPr>
            <w:tcW w:w="1664" w:type="dxa"/>
            <w:noWrap/>
            <w:hideMark/>
          </w:tcPr>
          <w:p w14:paraId="63CF151E" w14:textId="77777777" w:rsidR="00E72DB0" w:rsidRPr="00433049" w:rsidRDefault="00E72DB0" w:rsidP="00433049">
            <w:pPr>
              <w:rPr>
                <w:b/>
                <w:sz w:val="20"/>
                <w:szCs w:val="20"/>
              </w:rPr>
            </w:pPr>
            <w:r w:rsidRPr="00433049">
              <w:rPr>
                <w:b/>
                <w:sz w:val="20"/>
                <w:szCs w:val="20"/>
              </w:rPr>
              <w:t>Cognitive Level</w:t>
            </w:r>
          </w:p>
        </w:tc>
        <w:tc>
          <w:tcPr>
            <w:tcW w:w="3278" w:type="dxa"/>
            <w:noWrap/>
            <w:hideMark/>
          </w:tcPr>
          <w:p w14:paraId="1A69F94A" w14:textId="77777777" w:rsidR="00E72DB0" w:rsidRPr="00433049" w:rsidRDefault="00E72DB0" w:rsidP="00433049">
            <w:pPr>
              <w:rPr>
                <w:b/>
                <w:sz w:val="20"/>
                <w:szCs w:val="20"/>
              </w:rPr>
            </w:pPr>
            <w:r w:rsidRPr="00433049">
              <w:rPr>
                <w:b/>
                <w:sz w:val="20"/>
                <w:szCs w:val="20"/>
              </w:rPr>
              <w:t>Definitions</w:t>
            </w:r>
          </w:p>
        </w:tc>
        <w:tc>
          <w:tcPr>
            <w:tcW w:w="9014" w:type="dxa"/>
            <w:noWrap/>
            <w:hideMark/>
          </w:tcPr>
          <w:p w14:paraId="6E8D5A1B" w14:textId="77777777" w:rsidR="00E72DB0" w:rsidRPr="00433049" w:rsidRDefault="00E72DB0" w:rsidP="00433049">
            <w:pPr>
              <w:rPr>
                <w:b/>
                <w:sz w:val="20"/>
                <w:szCs w:val="20"/>
              </w:rPr>
            </w:pPr>
            <w:r w:rsidRPr="00433049">
              <w:rPr>
                <w:b/>
                <w:sz w:val="20"/>
                <w:szCs w:val="20"/>
              </w:rPr>
              <w:t>Illustrative Verbs</w:t>
            </w:r>
          </w:p>
        </w:tc>
      </w:tr>
      <w:tr w:rsidR="007B4FD2" w:rsidRPr="00433049" w14:paraId="5716CB0D" w14:textId="77777777" w:rsidTr="007B4FD2">
        <w:trPr>
          <w:trHeight w:val="300"/>
        </w:trPr>
        <w:tc>
          <w:tcPr>
            <w:tcW w:w="1664" w:type="dxa"/>
            <w:noWrap/>
            <w:hideMark/>
          </w:tcPr>
          <w:p w14:paraId="4457E326" w14:textId="77777777" w:rsidR="00E72DB0" w:rsidRPr="00433049" w:rsidRDefault="00E72DB0" w:rsidP="00433049">
            <w:pPr>
              <w:rPr>
                <w:sz w:val="20"/>
                <w:szCs w:val="20"/>
              </w:rPr>
            </w:pPr>
            <w:r w:rsidRPr="00433049">
              <w:rPr>
                <w:sz w:val="20"/>
                <w:szCs w:val="20"/>
              </w:rPr>
              <w:t>Knowledge</w:t>
            </w:r>
          </w:p>
        </w:tc>
        <w:tc>
          <w:tcPr>
            <w:tcW w:w="3278" w:type="dxa"/>
            <w:noWrap/>
            <w:hideMark/>
          </w:tcPr>
          <w:p w14:paraId="7AB210A7" w14:textId="77777777" w:rsidR="00E72DB0" w:rsidRPr="00433049" w:rsidRDefault="00E72DB0" w:rsidP="00433049">
            <w:pPr>
              <w:rPr>
                <w:sz w:val="20"/>
                <w:szCs w:val="20"/>
              </w:rPr>
            </w:pPr>
            <w:r w:rsidRPr="00433049">
              <w:rPr>
                <w:sz w:val="20"/>
                <w:szCs w:val="20"/>
              </w:rPr>
              <w:t>remembering previously learned information</w:t>
            </w:r>
          </w:p>
        </w:tc>
        <w:tc>
          <w:tcPr>
            <w:tcW w:w="9014" w:type="dxa"/>
            <w:noWrap/>
            <w:hideMark/>
          </w:tcPr>
          <w:p w14:paraId="1C35CD6F" w14:textId="77777777" w:rsidR="00E72DB0" w:rsidRPr="00433049" w:rsidRDefault="00E72DB0" w:rsidP="00433049">
            <w:pPr>
              <w:rPr>
                <w:sz w:val="20"/>
                <w:szCs w:val="20"/>
              </w:rPr>
            </w:pPr>
            <w:r w:rsidRPr="00433049">
              <w:rPr>
                <w:sz w:val="20"/>
                <w:szCs w:val="20"/>
              </w:rPr>
              <w:t>arrange, define, describe, duplicate, identify, label, list, match, memorize, name, order, outline, recognize, relate, recall, repeat, reproduce, select, state</w:t>
            </w:r>
          </w:p>
        </w:tc>
      </w:tr>
      <w:tr w:rsidR="007B4FD2" w:rsidRPr="00433049" w14:paraId="13DD8E9D" w14:textId="77777777" w:rsidTr="007B4FD2">
        <w:trPr>
          <w:trHeight w:val="300"/>
        </w:trPr>
        <w:tc>
          <w:tcPr>
            <w:tcW w:w="1664" w:type="dxa"/>
            <w:noWrap/>
            <w:hideMark/>
          </w:tcPr>
          <w:p w14:paraId="2078A69D" w14:textId="77777777" w:rsidR="00E72DB0" w:rsidRPr="00433049" w:rsidRDefault="00E72DB0" w:rsidP="00433049">
            <w:pPr>
              <w:rPr>
                <w:sz w:val="20"/>
                <w:szCs w:val="20"/>
              </w:rPr>
            </w:pPr>
            <w:r w:rsidRPr="00433049">
              <w:rPr>
                <w:sz w:val="20"/>
                <w:szCs w:val="20"/>
              </w:rPr>
              <w:t>Comprehension</w:t>
            </w:r>
          </w:p>
        </w:tc>
        <w:tc>
          <w:tcPr>
            <w:tcW w:w="3278" w:type="dxa"/>
            <w:noWrap/>
            <w:hideMark/>
          </w:tcPr>
          <w:p w14:paraId="4F9C964C" w14:textId="77777777" w:rsidR="00E72DB0" w:rsidRPr="00433049" w:rsidRDefault="00E72DB0" w:rsidP="00433049">
            <w:pPr>
              <w:rPr>
                <w:sz w:val="20"/>
                <w:szCs w:val="20"/>
              </w:rPr>
            </w:pPr>
            <w:r w:rsidRPr="00433049">
              <w:rPr>
                <w:sz w:val="20"/>
                <w:szCs w:val="20"/>
              </w:rPr>
              <w:t>grasping the meaning of information</w:t>
            </w:r>
          </w:p>
        </w:tc>
        <w:tc>
          <w:tcPr>
            <w:tcW w:w="9014" w:type="dxa"/>
            <w:noWrap/>
            <w:hideMark/>
          </w:tcPr>
          <w:p w14:paraId="453EC377" w14:textId="77777777" w:rsidR="00E72DB0" w:rsidRPr="00433049" w:rsidRDefault="00E72DB0" w:rsidP="00433049">
            <w:pPr>
              <w:rPr>
                <w:sz w:val="20"/>
                <w:szCs w:val="20"/>
              </w:rPr>
            </w:pPr>
            <w:r w:rsidRPr="00433049">
              <w:rPr>
                <w:sz w:val="20"/>
                <w:szCs w:val="20"/>
              </w:rPr>
              <w:t>classify, convert, defend, discuss, distinguish, estimate, explain, express, extend, generalize, give example(s), identify, indicate, infer, locate, paraphrase, predict, recognize, rewrite, report, restate, review, select, summarize, translate</w:t>
            </w:r>
          </w:p>
        </w:tc>
      </w:tr>
      <w:tr w:rsidR="007B4FD2" w:rsidRPr="00433049" w14:paraId="67FFE99B" w14:textId="77777777" w:rsidTr="007B4FD2">
        <w:trPr>
          <w:trHeight w:val="300"/>
        </w:trPr>
        <w:tc>
          <w:tcPr>
            <w:tcW w:w="1664" w:type="dxa"/>
            <w:noWrap/>
            <w:hideMark/>
          </w:tcPr>
          <w:p w14:paraId="35B4E378" w14:textId="77777777" w:rsidR="00E72DB0" w:rsidRPr="00433049" w:rsidRDefault="00E72DB0" w:rsidP="00433049">
            <w:pPr>
              <w:rPr>
                <w:sz w:val="20"/>
                <w:szCs w:val="20"/>
              </w:rPr>
            </w:pPr>
            <w:r w:rsidRPr="00433049">
              <w:rPr>
                <w:sz w:val="20"/>
                <w:szCs w:val="20"/>
              </w:rPr>
              <w:t>Application</w:t>
            </w:r>
          </w:p>
        </w:tc>
        <w:tc>
          <w:tcPr>
            <w:tcW w:w="3278" w:type="dxa"/>
            <w:noWrap/>
            <w:hideMark/>
          </w:tcPr>
          <w:p w14:paraId="7787428A" w14:textId="77777777" w:rsidR="00E72DB0" w:rsidRPr="00433049" w:rsidRDefault="00E72DB0" w:rsidP="00433049">
            <w:pPr>
              <w:rPr>
                <w:sz w:val="20"/>
                <w:szCs w:val="20"/>
              </w:rPr>
            </w:pPr>
            <w:r w:rsidRPr="00433049">
              <w:rPr>
                <w:sz w:val="20"/>
                <w:szCs w:val="20"/>
              </w:rPr>
              <w:t>applying knowledge to actual situations</w:t>
            </w:r>
          </w:p>
        </w:tc>
        <w:tc>
          <w:tcPr>
            <w:tcW w:w="9014" w:type="dxa"/>
            <w:noWrap/>
            <w:hideMark/>
          </w:tcPr>
          <w:p w14:paraId="1B10A112" w14:textId="77777777" w:rsidR="00E72DB0" w:rsidRPr="00433049" w:rsidRDefault="00E72DB0" w:rsidP="00433049">
            <w:pPr>
              <w:rPr>
                <w:sz w:val="20"/>
                <w:szCs w:val="20"/>
              </w:rPr>
            </w:pPr>
            <w:r w:rsidRPr="00433049">
              <w:rPr>
                <w:sz w:val="20"/>
                <w:szCs w:val="20"/>
              </w:rPr>
              <w:t>apply, change, choose, compute, demonstrate, discover, dramatize, employ, illustrate, interpret, manipulate, modify, operate, practice, predict, prepare, produce, relate schedule, show, sketch, solve, use write</w:t>
            </w:r>
          </w:p>
        </w:tc>
      </w:tr>
      <w:tr w:rsidR="007B4FD2" w:rsidRPr="00433049" w14:paraId="065D4970" w14:textId="77777777" w:rsidTr="007B4FD2">
        <w:trPr>
          <w:trHeight w:val="300"/>
        </w:trPr>
        <w:tc>
          <w:tcPr>
            <w:tcW w:w="1664" w:type="dxa"/>
            <w:noWrap/>
            <w:hideMark/>
          </w:tcPr>
          <w:p w14:paraId="5FB1D6BE" w14:textId="77777777" w:rsidR="00E72DB0" w:rsidRPr="00433049" w:rsidRDefault="00E72DB0" w:rsidP="00433049">
            <w:pPr>
              <w:rPr>
                <w:sz w:val="20"/>
                <w:szCs w:val="20"/>
              </w:rPr>
            </w:pPr>
            <w:r w:rsidRPr="00433049">
              <w:rPr>
                <w:sz w:val="20"/>
                <w:szCs w:val="20"/>
              </w:rPr>
              <w:t>Analysis</w:t>
            </w:r>
          </w:p>
        </w:tc>
        <w:tc>
          <w:tcPr>
            <w:tcW w:w="3278" w:type="dxa"/>
            <w:noWrap/>
            <w:hideMark/>
          </w:tcPr>
          <w:p w14:paraId="44882565" w14:textId="77777777" w:rsidR="00E72DB0" w:rsidRPr="00433049" w:rsidRDefault="00E72DB0" w:rsidP="00433049">
            <w:pPr>
              <w:rPr>
                <w:sz w:val="20"/>
                <w:szCs w:val="20"/>
              </w:rPr>
            </w:pPr>
            <w:r w:rsidRPr="00433049">
              <w:rPr>
                <w:sz w:val="20"/>
                <w:szCs w:val="20"/>
              </w:rPr>
              <w:t>breaking down objects or ideas into simpler parts and seeing how the parts relate and are organized</w:t>
            </w:r>
          </w:p>
        </w:tc>
        <w:tc>
          <w:tcPr>
            <w:tcW w:w="9014" w:type="dxa"/>
            <w:noWrap/>
            <w:hideMark/>
          </w:tcPr>
          <w:p w14:paraId="360F5C86" w14:textId="77777777" w:rsidR="00E72DB0" w:rsidRPr="00433049" w:rsidRDefault="00E72DB0" w:rsidP="00433049">
            <w:pPr>
              <w:rPr>
                <w:sz w:val="20"/>
                <w:szCs w:val="20"/>
              </w:rPr>
            </w:pPr>
            <w:r w:rsidRPr="00433049">
              <w:rPr>
                <w:sz w:val="20"/>
                <w:szCs w:val="20"/>
              </w:rPr>
              <w:t>analyze, appraise, breakdown, calculate, categorize, classify, compare, contrast, criticize, derive, diagram, differentiate, discriminate, distinguish, examine, experiment, identify, illustrate, infer, interpret, model, outline, point out, question, relate, select, separate, subdivide, test</w:t>
            </w:r>
          </w:p>
        </w:tc>
      </w:tr>
      <w:tr w:rsidR="007B4FD2" w:rsidRPr="00433049" w14:paraId="05D6E827" w14:textId="77777777" w:rsidTr="007B4FD2">
        <w:trPr>
          <w:trHeight w:val="300"/>
        </w:trPr>
        <w:tc>
          <w:tcPr>
            <w:tcW w:w="1664" w:type="dxa"/>
            <w:noWrap/>
            <w:hideMark/>
          </w:tcPr>
          <w:p w14:paraId="43D70F7A" w14:textId="77777777" w:rsidR="00E72DB0" w:rsidRPr="00433049" w:rsidRDefault="00E72DB0" w:rsidP="00433049">
            <w:pPr>
              <w:rPr>
                <w:sz w:val="20"/>
                <w:szCs w:val="20"/>
              </w:rPr>
            </w:pPr>
            <w:r w:rsidRPr="00433049">
              <w:rPr>
                <w:sz w:val="20"/>
                <w:szCs w:val="20"/>
              </w:rPr>
              <w:t>Synthesis</w:t>
            </w:r>
          </w:p>
        </w:tc>
        <w:tc>
          <w:tcPr>
            <w:tcW w:w="3278" w:type="dxa"/>
            <w:noWrap/>
            <w:hideMark/>
          </w:tcPr>
          <w:p w14:paraId="2C79813B" w14:textId="77777777" w:rsidR="00E72DB0" w:rsidRPr="00433049" w:rsidRDefault="00E72DB0" w:rsidP="00433049">
            <w:pPr>
              <w:rPr>
                <w:sz w:val="20"/>
                <w:szCs w:val="20"/>
              </w:rPr>
            </w:pPr>
            <w:r w:rsidRPr="00433049">
              <w:rPr>
                <w:sz w:val="20"/>
                <w:szCs w:val="20"/>
              </w:rPr>
              <w:t>rearranging component ideas into a new whole</w:t>
            </w:r>
          </w:p>
        </w:tc>
        <w:tc>
          <w:tcPr>
            <w:tcW w:w="9014" w:type="dxa"/>
            <w:noWrap/>
            <w:hideMark/>
          </w:tcPr>
          <w:p w14:paraId="4C5F79F7" w14:textId="77777777" w:rsidR="00E72DB0" w:rsidRPr="00433049" w:rsidRDefault="00E72DB0" w:rsidP="00433049">
            <w:pPr>
              <w:rPr>
                <w:sz w:val="20"/>
                <w:szCs w:val="20"/>
              </w:rPr>
            </w:pPr>
            <w:r w:rsidRPr="00433049">
              <w:rPr>
                <w:sz w:val="20"/>
                <w:szCs w:val="20"/>
              </w:rPr>
              <w:t>arrange, assemble, categorize, collect, combine, comply, compose, construct, create, design, develop, devise, explain, formulate, generate, plan, prepare, propose, rearrange, reconstruct, relate, reorganize, revise, rewrite, set up, summarize, synthesize, tell, write</w:t>
            </w:r>
          </w:p>
        </w:tc>
      </w:tr>
      <w:tr w:rsidR="007B4FD2" w:rsidRPr="00433049" w14:paraId="13A1402B" w14:textId="77777777" w:rsidTr="007B4FD2">
        <w:trPr>
          <w:trHeight w:val="300"/>
        </w:trPr>
        <w:tc>
          <w:tcPr>
            <w:tcW w:w="1664" w:type="dxa"/>
            <w:noWrap/>
            <w:hideMark/>
          </w:tcPr>
          <w:p w14:paraId="2094D778" w14:textId="77777777" w:rsidR="00E72DB0" w:rsidRPr="00433049" w:rsidRDefault="00E72DB0" w:rsidP="00433049">
            <w:pPr>
              <w:rPr>
                <w:sz w:val="20"/>
                <w:szCs w:val="20"/>
              </w:rPr>
            </w:pPr>
            <w:r w:rsidRPr="00433049">
              <w:rPr>
                <w:sz w:val="20"/>
                <w:szCs w:val="20"/>
              </w:rPr>
              <w:t>Evaluation</w:t>
            </w:r>
          </w:p>
        </w:tc>
        <w:tc>
          <w:tcPr>
            <w:tcW w:w="3278" w:type="dxa"/>
            <w:noWrap/>
            <w:hideMark/>
          </w:tcPr>
          <w:p w14:paraId="091ACC05" w14:textId="77777777" w:rsidR="00E72DB0" w:rsidRPr="00433049" w:rsidRDefault="00E72DB0" w:rsidP="00433049">
            <w:pPr>
              <w:rPr>
                <w:sz w:val="20"/>
                <w:szCs w:val="20"/>
              </w:rPr>
            </w:pPr>
            <w:r w:rsidRPr="00433049">
              <w:rPr>
                <w:sz w:val="20"/>
                <w:szCs w:val="20"/>
              </w:rPr>
              <w:t>making judgments based on internal evidence or external criteria</w:t>
            </w:r>
          </w:p>
        </w:tc>
        <w:tc>
          <w:tcPr>
            <w:tcW w:w="9014" w:type="dxa"/>
            <w:noWrap/>
            <w:hideMark/>
          </w:tcPr>
          <w:p w14:paraId="6411A2D9" w14:textId="77777777" w:rsidR="00E72DB0" w:rsidRPr="00433049" w:rsidRDefault="00E72DB0" w:rsidP="00433049">
            <w:pPr>
              <w:rPr>
                <w:sz w:val="20"/>
                <w:szCs w:val="20"/>
              </w:rPr>
            </w:pPr>
            <w:r w:rsidRPr="00433049">
              <w:rPr>
                <w:sz w:val="20"/>
                <w:szCs w:val="20"/>
              </w:rPr>
              <w:t>appraise, argue, assess, attach, choose, compare, conclude, contrast, defend, describe, discriminate, estimate, evaluate, explain, judge, justify, interpret, relate, predict, rate, select, summarize, support, value</w:t>
            </w:r>
          </w:p>
        </w:tc>
      </w:tr>
    </w:tbl>
    <w:p w14:paraId="4B40E31F" w14:textId="51E5DCA3" w:rsidR="00E72DB0" w:rsidRPr="004041BC" w:rsidRDefault="00E72DB0" w:rsidP="004041BC">
      <w:pPr>
        <w:ind w:firstLine="270"/>
        <w:rPr>
          <w:color w:val="595959" w:themeColor="text1" w:themeTint="A6"/>
        </w:rPr>
      </w:pPr>
      <w:r w:rsidRPr="004041BC">
        <w:rPr>
          <w:color w:val="595959" w:themeColor="text1" w:themeTint="A6"/>
        </w:rPr>
        <w:t xml:space="preserve">*Source: </w:t>
      </w:r>
      <w:hyperlink r:id="rId6" w:history="1">
        <w:r w:rsidR="0077167B" w:rsidRPr="004041BC">
          <w:rPr>
            <w:rStyle w:val="Hyperlink"/>
            <w:color w:val="595959" w:themeColor="text1" w:themeTint="A6"/>
          </w:rPr>
          <w:t>http://www.au.af.mil/au/awc/awcgate/edref/bloom.htm</w:t>
        </w:r>
      </w:hyperlink>
    </w:p>
    <w:p w14:paraId="7C8E3750" w14:textId="60FAAE27" w:rsidR="0077167B" w:rsidRPr="004041BC" w:rsidRDefault="0077167B" w:rsidP="004041BC">
      <w:pPr>
        <w:ind w:firstLine="270"/>
        <w:rPr>
          <w:color w:val="595959" w:themeColor="text1" w:themeTint="A6"/>
        </w:rPr>
      </w:pPr>
      <w:r w:rsidRPr="004041BC">
        <w:rPr>
          <w:color w:val="595959" w:themeColor="text1" w:themeTint="A6"/>
        </w:rPr>
        <w:t xml:space="preserve">*More in-depth and additional learning objective verbs, see Attachments A and B on </w:t>
      </w:r>
      <w:hyperlink r:id="rId7" w:history="1">
        <w:r w:rsidRPr="004041BC">
          <w:rPr>
            <w:rStyle w:val="Hyperlink"/>
            <w:color w:val="595959" w:themeColor="text1" w:themeTint="A6"/>
          </w:rPr>
          <w:t>Effective use of Performance Objectives for Learning and Assessment</w:t>
        </w:r>
      </w:hyperlink>
    </w:p>
    <w:p w14:paraId="7D536EC0" w14:textId="77777777" w:rsidR="00C05EA6" w:rsidRDefault="00C05EA6" w:rsidP="00433049"/>
    <w:p w14:paraId="2D02197E" w14:textId="56333415" w:rsidR="00092E41" w:rsidRDefault="00092E41" w:rsidP="00433049">
      <w:pPr>
        <w:pStyle w:val="Heading2"/>
      </w:pPr>
      <w:r>
        <w:t>IDEA</w:t>
      </w:r>
      <w:r w:rsidR="008A05CE">
        <w:t xml:space="preserve"> Objectives</w:t>
      </w:r>
    </w:p>
    <w:p w14:paraId="6098C773" w14:textId="677748B9" w:rsidR="007B4FD2" w:rsidRDefault="007B4FD2" w:rsidP="007B4FD2"/>
    <w:tbl>
      <w:tblPr>
        <w:tblStyle w:val="TableGrid"/>
        <w:tblW w:w="14174" w:type="dxa"/>
        <w:tblInd w:w="221" w:type="dxa"/>
        <w:tblLayout w:type="fixed"/>
        <w:tblLook w:val="04A0" w:firstRow="1" w:lastRow="0" w:firstColumn="1" w:lastColumn="0" w:noHBand="0" w:noVBand="1"/>
      </w:tblPr>
      <w:tblGrid>
        <w:gridCol w:w="3010"/>
        <w:gridCol w:w="11164"/>
      </w:tblGrid>
      <w:tr w:rsidR="00114B17" w:rsidRPr="00490DBB" w14:paraId="51B28E63" w14:textId="77777777" w:rsidTr="007B4FD2">
        <w:tc>
          <w:tcPr>
            <w:tcW w:w="3010" w:type="dxa"/>
          </w:tcPr>
          <w:p w14:paraId="4C2EE377" w14:textId="52818BD1" w:rsidR="00114B17" w:rsidRPr="0036603B" w:rsidRDefault="0036603B" w:rsidP="00683F3C">
            <w:pPr>
              <w:rPr>
                <w:b/>
                <w:sz w:val="20"/>
                <w:szCs w:val="20"/>
              </w:rPr>
            </w:pPr>
            <w:r w:rsidRPr="0036603B">
              <w:rPr>
                <w:b/>
                <w:sz w:val="20"/>
                <w:szCs w:val="20"/>
              </w:rPr>
              <w:t>IDEA Group</w:t>
            </w:r>
          </w:p>
        </w:tc>
        <w:tc>
          <w:tcPr>
            <w:tcW w:w="11164" w:type="dxa"/>
          </w:tcPr>
          <w:p w14:paraId="3DD93AD3" w14:textId="4EDDBB06" w:rsidR="00114B17" w:rsidRPr="0036603B" w:rsidRDefault="0036603B" w:rsidP="00683F3C">
            <w:pPr>
              <w:rPr>
                <w:b/>
                <w:sz w:val="20"/>
                <w:szCs w:val="20"/>
              </w:rPr>
            </w:pPr>
            <w:r w:rsidRPr="0036603B">
              <w:rPr>
                <w:b/>
                <w:sz w:val="20"/>
                <w:szCs w:val="20"/>
              </w:rPr>
              <w:t>IDEA Objective</w:t>
            </w:r>
          </w:p>
        </w:tc>
      </w:tr>
      <w:tr w:rsidR="007B4FD2" w:rsidRPr="00490DBB" w14:paraId="7D383B09" w14:textId="77777777" w:rsidTr="007B4FD2">
        <w:tc>
          <w:tcPr>
            <w:tcW w:w="3010" w:type="dxa"/>
            <w:vMerge w:val="restart"/>
          </w:tcPr>
          <w:p w14:paraId="6028816F" w14:textId="77777777" w:rsidR="007B4FD2" w:rsidRPr="00490DBB" w:rsidRDefault="007B4FD2" w:rsidP="00683F3C">
            <w:pPr>
              <w:rPr>
                <w:sz w:val="20"/>
                <w:szCs w:val="20"/>
              </w:rPr>
            </w:pPr>
            <w:r>
              <w:rPr>
                <w:sz w:val="20"/>
                <w:szCs w:val="20"/>
              </w:rPr>
              <w:t xml:space="preserve">I. </w:t>
            </w:r>
            <w:r w:rsidRPr="00490DBB">
              <w:rPr>
                <w:sz w:val="20"/>
                <w:szCs w:val="20"/>
              </w:rPr>
              <w:t>Basic Cognitive Background</w:t>
            </w:r>
          </w:p>
        </w:tc>
        <w:tc>
          <w:tcPr>
            <w:tcW w:w="11164" w:type="dxa"/>
          </w:tcPr>
          <w:p w14:paraId="0CFA666E" w14:textId="77777777" w:rsidR="007B4FD2" w:rsidRPr="00490DBB" w:rsidRDefault="007B4FD2" w:rsidP="00683F3C">
            <w:pPr>
              <w:rPr>
                <w:sz w:val="20"/>
                <w:szCs w:val="20"/>
              </w:rPr>
            </w:pPr>
            <w:r w:rsidRPr="00490DBB">
              <w:rPr>
                <w:sz w:val="20"/>
                <w:szCs w:val="20"/>
              </w:rPr>
              <w:t>1. Gaining factual knowledge (terminology, cl</w:t>
            </w:r>
            <w:r>
              <w:rPr>
                <w:sz w:val="20"/>
                <w:szCs w:val="20"/>
              </w:rPr>
              <w:t>assifications, methods, trends</w:t>
            </w:r>
          </w:p>
        </w:tc>
      </w:tr>
      <w:tr w:rsidR="007B4FD2" w:rsidRPr="00490DBB" w14:paraId="3211A81E" w14:textId="77777777" w:rsidTr="007B4FD2">
        <w:trPr>
          <w:trHeight w:val="278"/>
        </w:trPr>
        <w:tc>
          <w:tcPr>
            <w:tcW w:w="3010" w:type="dxa"/>
            <w:vMerge/>
          </w:tcPr>
          <w:p w14:paraId="713DC77F" w14:textId="77777777" w:rsidR="007B4FD2" w:rsidRPr="00490DBB" w:rsidRDefault="007B4FD2" w:rsidP="00683F3C">
            <w:pPr>
              <w:rPr>
                <w:sz w:val="20"/>
                <w:szCs w:val="20"/>
              </w:rPr>
            </w:pPr>
          </w:p>
        </w:tc>
        <w:tc>
          <w:tcPr>
            <w:tcW w:w="11164" w:type="dxa"/>
          </w:tcPr>
          <w:p w14:paraId="6A1B3D75" w14:textId="77777777" w:rsidR="007B4FD2" w:rsidRPr="00490DBB" w:rsidRDefault="007B4FD2" w:rsidP="00683F3C">
            <w:pPr>
              <w:rPr>
                <w:sz w:val="20"/>
                <w:szCs w:val="20"/>
              </w:rPr>
            </w:pPr>
            <w:r w:rsidRPr="00490DBB">
              <w:rPr>
                <w:sz w:val="20"/>
                <w:szCs w:val="20"/>
              </w:rPr>
              <w:t>2. Learning fundamental principles, generalizations, or theories</w:t>
            </w:r>
          </w:p>
        </w:tc>
      </w:tr>
      <w:tr w:rsidR="007B4FD2" w:rsidRPr="00490DBB" w14:paraId="7162022E" w14:textId="77777777" w:rsidTr="007B4FD2">
        <w:tc>
          <w:tcPr>
            <w:tcW w:w="3010" w:type="dxa"/>
            <w:vMerge w:val="restart"/>
          </w:tcPr>
          <w:p w14:paraId="6A6B4EFA" w14:textId="77777777" w:rsidR="007B4FD2" w:rsidRPr="00490DBB" w:rsidRDefault="007B4FD2" w:rsidP="00683F3C">
            <w:pPr>
              <w:rPr>
                <w:sz w:val="20"/>
                <w:szCs w:val="20"/>
              </w:rPr>
            </w:pPr>
            <w:r>
              <w:rPr>
                <w:sz w:val="20"/>
                <w:szCs w:val="20"/>
              </w:rPr>
              <w:t xml:space="preserve">II. </w:t>
            </w:r>
            <w:r w:rsidRPr="006523E7">
              <w:rPr>
                <w:sz w:val="20"/>
                <w:szCs w:val="20"/>
              </w:rPr>
              <w:t>Application of Learning</w:t>
            </w:r>
          </w:p>
        </w:tc>
        <w:tc>
          <w:tcPr>
            <w:tcW w:w="11164" w:type="dxa"/>
          </w:tcPr>
          <w:p w14:paraId="31C1C2FC" w14:textId="77777777" w:rsidR="007B4FD2" w:rsidRPr="00490DBB" w:rsidRDefault="007B4FD2" w:rsidP="00683F3C">
            <w:pPr>
              <w:rPr>
                <w:sz w:val="20"/>
                <w:szCs w:val="20"/>
              </w:rPr>
            </w:pPr>
            <w:r w:rsidRPr="006523E7">
              <w:rPr>
                <w:sz w:val="20"/>
                <w:szCs w:val="20"/>
              </w:rPr>
              <w:t>3. Learning to apply course materials (to improve rational thinking, problem solving and decisions)</w:t>
            </w:r>
          </w:p>
        </w:tc>
      </w:tr>
      <w:tr w:rsidR="007B4FD2" w:rsidRPr="00490DBB" w14:paraId="749C3F05" w14:textId="77777777" w:rsidTr="007B4FD2">
        <w:tc>
          <w:tcPr>
            <w:tcW w:w="3010" w:type="dxa"/>
            <w:vMerge/>
          </w:tcPr>
          <w:p w14:paraId="57FA873C" w14:textId="77777777" w:rsidR="007B4FD2" w:rsidRPr="00490DBB" w:rsidRDefault="007B4FD2" w:rsidP="00683F3C">
            <w:pPr>
              <w:rPr>
                <w:sz w:val="20"/>
                <w:szCs w:val="20"/>
              </w:rPr>
            </w:pPr>
          </w:p>
        </w:tc>
        <w:tc>
          <w:tcPr>
            <w:tcW w:w="11164" w:type="dxa"/>
          </w:tcPr>
          <w:p w14:paraId="4122F19F" w14:textId="77777777" w:rsidR="007B4FD2" w:rsidRPr="00490DBB" w:rsidRDefault="007B4FD2" w:rsidP="00683F3C">
            <w:pPr>
              <w:rPr>
                <w:sz w:val="20"/>
                <w:szCs w:val="20"/>
              </w:rPr>
            </w:pPr>
            <w:r w:rsidRPr="006523E7">
              <w:rPr>
                <w:sz w:val="20"/>
                <w:szCs w:val="20"/>
              </w:rPr>
              <w:t>4. Developing specific skills, competencies and points of view needed by professionals in the field most closely related to this course</w:t>
            </w:r>
          </w:p>
        </w:tc>
      </w:tr>
      <w:tr w:rsidR="007B4FD2" w:rsidRPr="00490DBB" w14:paraId="728A0C70" w14:textId="77777777" w:rsidTr="007B4FD2">
        <w:tc>
          <w:tcPr>
            <w:tcW w:w="3010" w:type="dxa"/>
            <w:vMerge w:val="restart"/>
          </w:tcPr>
          <w:p w14:paraId="292A8FFD" w14:textId="77777777" w:rsidR="007B4FD2" w:rsidRPr="00490DBB" w:rsidRDefault="007B4FD2" w:rsidP="00683F3C">
            <w:pPr>
              <w:rPr>
                <w:sz w:val="20"/>
                <w:szCs w:val="20"/>
              </w:rPr>
            </w:pPr>
            <w:r>
              <w:rPr>
                <w:sz w:val="20"/>
                <w:szCs w:val="20"/>
              </w:rPr>
              <w:t xml:space="preserve">III. </w:t>
            </w:r>
            <w:r w:rsidRPr="006523E7">
              <w:rPr>
                <w:sz w:val="20"/>
                <w:szCs w:val="20"/>
              </w:rPr>
              <w:t>Expressiveness</w:t>
            </w:r>
          </w:p>
        </w:tc>
        <w:tc>
          <w:tcPr>
            <w:tcW w:w="11164" w:type="dxa"/>
          </w:tcPr>
          <w:p w14:paraId="60E2A969" w14:textId="77777777" w:rsidR="007B4FD2" w:rsidRPr="00490DBB" w:rsidRDefault="007B4FD2" w:rsidP="00683F3C">
            <w:pPr>
              <w:rPr>
                <w:sz w:val="20"/>
                <w:szCs w:val="20"/>
              </w:rPr>
            </w:pPr>
            <w:r w:rsidRPr="006523E7">
              <w:rPr>
                <w:sz w:val="20"/>
                <w:szCs w:val="20"/>
              </w:rPr>
              <w:t>6. Developing creative capacities (writing, inventing, designing, performing in art, music drama, etc.)</w:t>
            </w:r>
          </w:p>
        </w:tc>
      </w:tr>
      <w:tr w:rsidR="007B4FD2" w:rsidRPr="00490DBB" w14:paraId="0D1FE1A4" w14:textId="77777777" w:rsidTr="007B4FD2">
        <w:tc>
          <w:tcPr>
            <w:tcW w:w="3010" w:type="dxa"/>
            <w:vMerge/>
          </w:tcPr>
          <w:p w14:paraId="350C2916" w14:textId="77777777" w:rsidR="007B4FD2" w:rsidRPr="00490DBB" w:rsidRDefault="007B4FD2" w:rsidP="00683F3C">
            <w:pPr>
              <w:rPr>
                <w:sz w:val="20"/>
                <w:szCs w:val="20"/>
              </w:rPr>
            </w:pPr>
          </w:p>
        </w:tc>
        <w:tc>
          <w:tcPr>
            <w:tcW w:w="11164" w:type="dxa"/>
          </w:tcPr>
          <w:p w14:paraId="2E910956" w14:textId="77777777" w:rsidR="007B4FD2" w:rsidRPr="00490DBB" w:rsidRDefault="007B4FD2" w:rsidP="00683F3C">
            <w:pPr>
              <w:rPr>
                <w:sz w:val="20"/>
                <w:szCs w:val="20"/>
              </w:rPr>
            </w:pPr>
            <w:r w:rsidRPr="006523E7">
              <w:rPr>
                <w:sz w:val="20"/>
                <w:szCs w:val="20"/>
              </w:rPr>
              <w:t>8. Developing skills in expressing oneself orally or in writing</w:t>
            </w:r>
          </w:p>
        </w:tc>
      </w:tr>
      <w:tr w:rsidR="007B4FD2" w:rsidRPr="006523E7" w14:paraId="38A90637" w14:textId="77777777" w:rsidTr="007B4FD2">
        <w:trPr>
          <w:trHeight w:val="287"/>
        </w:trPr>
        <w:tc>
          <w:tcPr>
            <w:tcW w:w="3010" w:type="dxa"/>
            <w:vMerge w:val="restart"/>
          </w:tcPr>
          <w:p w14:paraId="1B20094D" w14:textId="77777777" w:rsidR="007B4FD2" w:rsidRPr="00490DBB" w:rsidRDefault="007B4FD2" w:rsidP="00683F3C">
            <w:pPr>
              <w:rPr>
                <w:sz w:val="20"/>
                <w:szCs w:val="20"/>
              </w:rPr>
            </w:pPr>
            <w:r>
              <w:rPr>
                <w:sz w:val="20"/>
                <w:szCs w:val="20"/>
              </w:rPr>
              <w:t xml:space="preserve">IV. </w:t>
            </w:r>
            <w:r w:rsidRPr="006523E7">
              <w:rPr>
                <w:sz w:val="20"/>
                <w:szCs w:val="20"/>
              </w:rPr>
              <w:t>Intellectual Development</w:t>
            </w:r>
          </w:p>
        </w:tc>
        <w:tc>
          <w:tcPr>
            <w:tcW w:w="11164" w:type="dxa"/>
          </w:tcPr>
          <w:p w14:paraId="371195B5" w14:textId="77777777" w:rsidR="007B4FD2" w:rsidRPr="006523E7" w:rsidRDefault="007B4FD2" w:rsidP="00683F3C">
            <w:pPr>
              <w:rPr>
                <w:sz w:val="20"/>
                <w:szCs w:val="20"/>
              </w:rPr>
            </w:pPr>
            <w:r w:rsidRPr="006523E7">
              <w:rPr>
                <w:sz w:val="20"/>
                <w:szCs w:val="20"/>
              </w:rPr>
              <w:t>7. Gaining a broader understanding and appreciation of intellectual-cultural activity (music, science, literature, etc.)</w:t>
            </w:r>
          </w:p>
        </w:tc>
      </w:tr>
      <w:tr w:rsidR="007B4FD2" w:rsidRPr="006523E7" w14:paraId="1874496B" w14:textId="77777777" w:rsidTr="007B4FD2">
        <w:tc>
          <w:tcPr>
            <w:tcW w:w="3010" w:type="dxa"/>
            <w:vMerge/>
          </w:tcPr>
          <w:p w14:paraId="47602E11" w14:textId="77777777" w:rsidR="007B4FD2" w:rsidRPr="00490DBB" w:rsidRDefault="007B4FD2" w:rsidP="00683F3C">
            <w:pPr>
              <w:rPr>
                <w:sz w:val="20"/>
                <w:szCs w:val="20"/>
              </w:rPr>
            </w:pPr>
          </w:p>
        </w:tc>
        <w:tc>
          <w:tcPr>
            <w:tcW w:w="11164" w:type="dxa"/>
          </w:tcPr>
          <w:p w14:paraId="4FD423F5" w14:textId="77777777" w:rsidR="007B4FD2" w:rsidRPr="006523E7" w:rsidRDefault="007B4FD2" w:rsidP="00683F3C">
            <w:pPr>
              <w:rPr>
                <w:sz w:val="20"/>
                <w:szCs w:val="20"/>
              </w:rPr>
            </w:pPr>
            <w:r w:rsidRPr="006523E7">
              <w:rPr>
                <w:sz w:val="20"/>
                <w:szCs w:val="20"/>
              </w:rPr>
              <w:t>10. Developing a clearer understanding of, and commitment to, personal values.</w:t>
            </w:r>
          </w:p>
        </w:tc>
      </w:tr>
      <w:tr w:rsidR="007B4FD2" w:rsidRPr="006523E7" w14:paraId="44DDF714" w14:textId="77777777" w:rsidTr="007B4FD2">
        <w:tc>
          <w:tcPr>
            <w:tcW w:w="3010" w:type="dxa"/>
            <w:vMerge/>
          </w:tcPr>
          <w:p w14:paraId="4031586D" w14:textId="77777777" w:rsidR="007B4FD2" w:rsidRPr="00490DBB" w:rsidRDefault="007B4FD2" w:rsidP="00683F3C">
            <w:pPr>
              <w:rPr>
                <w:sz w:val="20"/>
                <w:szCs w:val="20"/>
              </w:rPr>
            </w:pPr>
          </w:p>
        </w:tc>
        <w:tc>
          <w:tcPr>
            <w:tcW w:w="11164" w:type="dxa"/>
          </w:tcPr>
          <w:p w14:paraId="401A1D2C" w14:textId="77777777" w:rsidR="007B4FD2" w:rsidRPr="006523E7" w:rsidRDefault="007B4FD2" w:rsidP="00683F3C">
            <w:pPr>
              <w:rPr>
                <w:sz w:val="20"/>
                <w:szCs w:val="20"/>
              </w:rPr>
            </w:pPr>
            <w:r w:rsidRPr="006523E7">
              <w:rPr>
                <w:sz w:val="20"/>
                <w:szCs w:val="20"/>
              </w:rPr>
              <w:t>11. Learning to analyze and critically evaluate ideas, arguments, and points of view.</w:t>
            </w:r>
          </w:p>
        </w:tc>
      </w:tr>
      <w:tr w:rsidR="007B4FD2" w:rsidRPr="007B4FD2" w14:paraId="15794F96" w14:textId="77777777" w:rsidTr="007B4FD2">
        <w:trPr>
          <w:trHeight w:val="215"/>
        </w:trPr>
        <w:tc>
          <w:tcPr>
            <w:tcW w:w="3010" w:type="dxa"/>
            <w:vMerge w:val="restart"/>
          </w:tcPr>
          <w:p w14:paraId="125C88CB" w14:textId="77777777" w:rsidR="007B4FD2" w:rsidRPr="00490DBB" w:rsidRDefault="007B4FD2" w:rsidP="00683F3C">
            <w:pPr>
              <w:rPr>
                <w:sz w:val="20"/>
                <w:szCs w:val="20"/>
              </w:rPr>
            </w:pPr>
            <w:r>
              <w:rPr>
                <w:sz w:val="20"/>
                <w:szCs w:val="20"/>
              </w:rPr>
              <w:t xml:space="preserve">V. </w:t>
            </w:r>
            <w:r w:rsidRPr="007B4FD2">
              <w:rPr>
                <w:sz w:val="20"/>
                <w:szCs w:val="20"/>
              </w:rPr>
              <w:t>Lifelong Learning</w:t>
            </w:r>
          </w:p>
        </w:tc>
        <w:tc>
          <w:tcPr>
            <w:tcW w:w="11164" w:type="dxa"/>
          </w:tcPr>
          <w:p w14:paraId="02F89503" w14:textId="77777777" w:rsidR="007B4FD2" w:rsidRPr="007B4FD2" w:rsidRDefault="007B4FD2" w:rsidP="00683F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rPr>
            </w:pPr>
            <w:r w:rsidRPr="007B4FD2">
              <w:rPr>
                <w:sz w:val="20"/>
                <w:szCs w:val="20"/>
              </w:rPr>
              <w:t>9. Learning how to find and use resources for answering questions or solving problems.</w:t>
            </w:r>
          </w:p>
        </w:tc>
      </w:tr>
      <w:tr w:rsidR="007B4FD2" w:rsidRPr="007B4FD2" w14:paraId="2E4FE76D" w14:textId="77777777" w:rsidTr="007B4FD2">
        <w:trPr>
          <w:trHeight w:val="215"/>
        </w:trPr>
        <w:tc>
          <w:tcPr>
            <w:tcW w:w="3010" w:type="dxa"/>
            <w:vMerge/>
          </w:tcPr>
          <w:p w14:paraId="69EEE983" w14:textId="77777777" w:rsidR="007B4FD2" w:rsidRPr="007B4FD2" w:rsidRDefault="007B4FD2" w:rsidP="00683F3C">
            <w:pPr>
              <w:rPr>
                <w:sz w:val="20"/>
                <w:szCs w:val="20"/>
              </w:rPr>
            </w:pPr>
          </w:p>
        </w:tc>
        <w:tc>
          <w:tcPr>
            <w:tcW w:w="11164" w:type="dxa"/>
          </w:tcPr>
          <w:p w14:paraId="0D812407" w14:textId="77777777" w:rsidR="007B4FD2" w:rsidRPr="007B4FD2" w:rsidRDefault="007B4FD2" w:rsidP="00683F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rPr>
            </w:pPr>
            <w:r w:rsidRPr="007B4FD2">
              <w:rPr>
                <w:sz w:val="20"/>
                <w:szCs w:val="20"/>
              </w:rPr>
              <w:t>12. Acquiring an interest in learning more by asking questions and seeking answers.</w:t>
            </w:r>
          </w:p>
        </w:tc>
      </w:tr>
      <w:tr w:rsidR="007B4FD2" w:rsidRPr="007B4FD2" w14:paraId="6DB46C36" w14:textId="77777777" w:rsidTr="007B4FD2">
        <w:trPr>
          <w:trHeight w:val="215"/>
        </w:trPr>
        <w:tc>
          <w:tcPr>
            <w:tcW w:w="3010" w:type="dxa"/>
          </w:tcPr>
          <w:p w14:paraId="4A6E13FE" w14:textId="77777777" w:rsidR="007B4FD2" w:rsidRPr="007B4FD2" w:rsidRDefault="007B4FD2" w:rsidP="00683F3C">
            <w:pPr>
              <w:rPr>
                <w:sz w:val="20"/>
                <w:szCs w:val="20"/>
              </w:rPr>
            </w:pPr>
            <w:r w:rsidRPr="007B4FD2">
              <w:rPr>
                <w:sz w:val="20"/>
                <w:szCs w:val="20"/>
              </w:rPr>
              <w:t>VI. Team Skills</w:t>
            </w:r>
          </w:p>
        </w:tc>
        <w:tc>
          <w:tcPr>
            <w:tcW w:w="11164" w:type="dxa"/>
          </w:tcPr>
          <w:p w14:paraId="7C01D77A" w14:textId="77777777" w:rsidR="007B4FD2" w:rsidRPr="007B4FD2" w:rsidRDefault="007B4FD2" w:rsidP="00683F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rPr>
            </w:pPr>
            <w:r w:rsidRPr="007B4FD2">
              <w:rPr>
                <w:sz w:val="20"/>
                <w:szCs w:val="20"/>
              </w:rPr>
              <w:t>5. Acquiring skills in working with others as a member of a team.</w:t>
            </w:r>
          </w:p>
        </w:tc>
      </w:tr>
    </w:tbl>
    <w:p w14:paraId="7CD57A58" w14:textId="77777777" w:rsidR="007B4FD2" w:rsidRPr="004041BC" w:rsidRDefault="007B4FD2" w:rsidP="004041BC">
      <w:pPr>
        <w:ind w:firstLine="270"/>
        <w:rPr>
          <w:color w:val="595959" w:themeColor="text1" w:themeTint="A6"/>
        </w:rPr>
      </w:pPr>
      <w:r w:rsidRPr="004041BC">
        <w:rPr>
          <w:color w:val="595959" w:themeColor="text1" w:themeTint="A6"/>
        </w:rPr>
        <w:t xml:space="preserve">* Source: </w:t>
      </w:r>
      <w:hyperlink r:id="rId8" w:history="1">
        <w:r w:rsidRPr="004041BC">
          <w:rPr>
            <w:rStyle w:val="Hyperlink"/>
            <w:color w:val="595959" w:themeColor="text1" w:themeTint="A6"/>
          </w:rPr>
          <w:t>http://www.usu.edu/aaa/idea_faculty_faq.cfm</w:t>
        </w:r>
      </w:hyperlink>
    </w:p>
    <w:p w14:paraId="0561E785" w14:textId="14B3288F" w:rsidR="008A05CE" w:rsidRDefault="008A05CE" w:rsidP="007B4FD2"/>
    <w:sectPr w:rsidR="008A05CE" w:rsidSect="008B422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759"/>
    <w:multiLevelType w:val="hybridMultilevel"/>
    <w:tmpl w:val="D81E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E94E87"/>
    <w:multiLevelType w:val="hybridMultilevel"/>
    <w:tmpl w:val="DA86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C35001"/>
    <w:multiLevelType w:val="hybridMultilevel"/>
    <w:tmpl w:val="E334DEF2"/>
    <w:lvl w:ilvl="0" w:tplc="E6F6039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82"/>
    <w:rsid w:val="00027B0E"/>
    <w:rsid w:val="000312AC"/>
    <w:rsid w:val="00084CBA"/>
    <w:rsid w:val="00092E41"/>
    <w:rsid w:val="000A34F8"/>
    <w:rsid w:val="001112BB"/>
    <w:rsid w:val="00114B17"/>
    <w:rsid w:val="001422A3"/>
    <w:rsid w:val="00147E7D"/>
    <w:rsid w:val="00155EC2"/>
    <w:rsid w:val="001F6612"/>
    <w:rsid w:val="002103E1"/>
    <w:rsid w:val="00215064"/>
    <w:rsid w:val="002565A3"/>
    <w:rsid w:val="002C2368"/>
    <w:rsid w:val="002D3A82"/>
    <w:rsid w:val="002E0564"/>
    <w:rsid w:val="00332CCC"/>
    <w:rsid w:val="00365497"/>
    <w:rsid w:val="0036603B"/>
    <w:rsid w:val="00375EB7"/>
    <w:rsid w:val="003A246B"/>
    <w:rsid w:val="003A4EBF"/>
    <w:rsid w:val="003B7998"/>
    <w:rsid w:val="003C1CB3"/>
    <w:rsid w:val="004041BC"/>
    <w:rsid w:val="00433049"/>
    <w:rsid w:val="00442C31"/>
    <w:rsid w:val="00490DBB"/>
    <w:rsid w:val="005C395E"/>
    <w:rsid w:val="006523E7"/>
    <w:rsid w:val="00676FE9"/>
    <w:rsid w:val="00696D2B"/>
    <w:rsid w:val="006A0F53"/>
    <w:rsid w:val="006C3960"/>
    <w:rsid w:val="00714268"/>
    <w:rsid w:val="007304C8"/>
    <w:rsid w:val="0077167B"/>
    <w:rsid w:val="007B4FD2"/>
    <w:rsid w:val="007D088A"/>
    <w:rsid w:val="008159E0"/>
    <w:rsid w:val="00830B49"/>
    <w:rsid w:val="00831A22"/>
    <w:rsid w:val="008A05CE"/>
    <w:rsid w:val="008B422C"/>
    <w:rsid w:val="008C150C"/>
    <w:rsid w:val="008D54EA"/>
    <w:rsid w:val="008E583C"/>
    <w:rsid w:val="0091026A"/>
    <w:rsid w:val="00996784"/>
    <w:rsid w:val="009C6586"/>
    <w:rsid w:val="00A456EE"/>
    <w:rsid w:val="00A4589C"/>
    <w:rsid w:val="00AB17C4"/>
    <w:rsid w:val="00AD6765"/>
    <w:rsid w:val="00AE5D4F"/>
    <w:rsid w:val="00B46B85"/>
    <w:rsid w:val="00B55252"/>
    <w:rsid w:val="00B60952"/>
    <w:rsid w:val="00B806CA"/>
    <w:rsid w:val="00BF5BC9"/>
    <w:rsid w:val="00C05EA6"/>
    <w:rsid w:val="00CE60E5"/>
    <w:rsid w:val="00D01B8E"/>
    <w:rsid w:val="00D14CED"/>
    <w:rsid w:val="00D37922"/>
    <w:rsid w:val="00D407E4"/>
    <w:rsid w:val="00D700BD"/>
    <w:rsid w:val="00D72311"/>
    <w:rsid w:val="00DB6E67"/>
    <w:rsid w:val="00E72DB0"/>
    <w:rsid w:val="00F15399"/>
    <w:rsid w:val="00FA2B05"/>
    <w:rsid w:val="00FB5A38"/>
    <w:rsid w:val="00FD4609"/>
    <w:rsid w:val="00FE735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93FA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3049"/>
    <w:rPr>
      <w:sz w:val="22"/>
      <w:szCs w:val="22"/>
    </w:rPr>
  </w:style>
  <w:style w:type="paragraph" w:styleId="Heading1">
    <w:name w:val="heading 1"/>
    <w:basedOn w:val="Normal"/>
    <w:next w:val="Normal"/>
    <w:link w:val="Heading1Char"/>
    <w:uiPriority w:val="9"/>
    <w:qFormat/>
    <w:rsid w:val="00C05EA6"/>
    <w:pPr>
      <w:keepNext/>
      <w:keepLines/>
      <w:outlineLvl w:val="0"/>
    </w:pPr>
    <w:rPr>
      <w:rFonts w:ascii="Calibri" w:eastAsiaTheme="majorEastAsia" w:hAnsi="Calibr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72DB0"/>
    <w:pPr>
      <w:keepNext/>
      <w:keepLines/>
      <w:spacing w:before="40"/>
      <w:outlineLvl w:val="1"/>
    </w:pPr>
    <w:rPr>
      <w:rFonts w:ascii="Calibri" w:eastAsiaTheme="majorEastAsia" w:hAnsi="Calibr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6E67"/>
    <w:pPr>
      <w:ind w:left="720"/>
      <w:contextualSpacing/>
    </w:pPr>
  </w:style>
  <w:style w:type="character" w:customStyle="1" w:styleId="Heading1Char">
    <w:name w:val="Heading 1 Char"/>
    <w:basedOn w:val="DefaultParagraphFont"/>
    <w:link w:val="Heading1"/>
    <w:uiPriority w:val="9"/>
    <w:rsid w:val="00C05EA6"/>
    <w:rPr>
      <w:rFonts w:ascii="Calibri" w:eastAsiaTheme="majorEastAsia" w:hAnsi="Calibri" w:cstheme="majorBidi"/>
      <w:b/>
      <w:color w:val="2F5496" w:themeColor="accent1" w:themeShade="BF"/>
      <w:sz w:val="32"/>
      <w:szCs w:val="32"/>
    </w:rPr>
  </w:style>
  <w:style w:type="character" w:customStyle="1" w:styleId="Heading2Char">
    <w:name w:val="Heading 2 Char"/>
    <w:basedOn w:val="DefaultParagraphFont"/>
    <w:link w:val="Heading2"/>
    <w:uiPriority w:val="9"/>
    <w:rsid w:val="00E72DB0"/>
    <w:rPr>
      <w:rFonts w:ascii="Calibri" w:eastAsiaTheme="majorEastAsia" w:hAnsi="Calibri" w:cstheme="majorBidi"/>
      <w:b/>
      <w:color w:val="2F5496" w:themeColor="accent1" w:themeShade="BF"/>
      <w:sz w:val="26"/>
      <w:szCs w:val="26"/>
    </w:rPr>
  </w:style>
  <w:style w:type="character" w:styleId="Hyperlink">
    <w:name w:val="Hyperlink"/>
    <w:basedOn w:val="DefaultParagraphFont"/>
    <w:uiPriority w:val="99"/>
    <w:unhideWhenUsed/>
    <w:rsid w:val="0077167B"/>
    <w:rPr>
      <w:color w:val="0563C1" w:themeColor="hyperlink"/>
      <w:u w:val="single"/>
    </w:rPr>
  </w:style>
  <w:style w:type="paragraph" w:styleId="NoSpacing">
    <w:name w:val="No Spacing"/>
    <w:uiPriority w:val="1"/>
    <w:qFormat/>
    <w:rsid w:val="006523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128">
      <w:bodyDiv w:val="1"/>
      <w:marLeft w:val="0"/>
      <w:marRight w:val="0"/>
      <w:marTop w:val="0"/>
      <w:marBottom w:val="0"/>
      <w:divBdr>
        <w:top w:val="none" w:sz="0" w:space="0" w:color="auto"/>
        <w:left w:val="none" w:sz="0" w:space="0" w:color="auto"/>
        <w:bottom w:val="none" w:sz="0" w:space="0" w:color="auto"/>
        <w:right w:val="none" w:sz="0" w:space="0" w:color="auto"/>
      </w:divBdr>
    </w:div>
    <w:div w:id="54279438">
      <w:bodyDiv w:val="1"/>
      <w:marLeft w:val="0"/>
      <w:marRight w:val="0"/>
      <w:marTop w:val="0"/>
      <w:marBottom w:val="0"/>
      <w:divBdr>
        <w:top w:val="none" w:sz="0" w:space="0" w:color="auto"/>
        <w:left w:val="none" w:sz="0" w:space="0" w:color="auto"/>
        <w:bottom w:val="none" w:sz="0" w:space="0" w:color="auto"/>
        <w:right w:val="none" w:sz="0" w:space="0" w:color="auto"/>
      </w:divBdr>
    </w:div>
    <w:div w:id="73207469">
      <w:bodyDiv w:val="1"/>
      <w:marLeft w:val="0"/>
      <w:marRight w:val="0"/>
      <w:marTop w:val="0"/>
      <w:marBottom w:val="0"/>
      <w:divBdr>
        <w:top w:val="none" w:sz="0" w:space="0" w:color="auto"/>
        <w:left w:val="none" w:sz="0" w:space="0" w:color="auto"/>
        <w:bottom w:val="none" w:sz="0" w:space="0" w:color="auto"/>
        <w:right w:val="none" w:sz="0" w:space="0" w:color="auto"/>
      </w:divBdr>
    </w:div>
    <w:div w:id="150754885">
      <w:bodyDiv w:val="1"/>
      <w:marLeft w:val="0"/>
      <w:marRight w:val="0"/>
      <w:marTop w:val="0"/>
      <w:marBottom w:val="0"/>
      <w:divBdr>
        <w:top w:val="none" w:sz="0" w:space="0" w:color="auto"/>
        <w:left w:val="none" w:sz="0" w:space="0" w:color="auto"/>
        <w:bottom w:val="none" w:sz="0" w:space="0" w:color="auto"/>
        <w:right w:val="none" w:sz="0" w:space="0" w:color="auto"/>
      </w:divBdr>
    </w:div>
    <w:div w:id="217086592">
      <w:bodyDiv w:val="1"/>
      <w:marLeft w:val="0"/>
      <w:marRight w:val="0"/>
      <w:marTop w:val="0"/>
      <w:marBottom w:val="0"/>
      <w:divBdr>
        <w:top w:val="none" w:sz="0" w:space="0" w:color="auto"/>
        <w:left w:val="none" w:sz="0" w:space="0" w:color="auto"/>
        <w:bottom w:val="none" w:sz="0" w:space="0" w:color="auto"/>
        <w:right w:val="none" w:sz="0" w:space="0" w:color="auto"/>
      </w:divBdr>
    </w:div>
    <w:div w:id="228467651">
      <w:bodyDiv w:val="1"/>
      <w:marLeft w:val="0"/>
      <w:marRight w:val="0"/>
      <w:marTop w:val="0"/>
      <w:marBottom w:val="0"/>
      <w:divBdr>
        <w:top w:val="none" w:sz="0" w:space="0" w:color="auto"/>
        <w:left w:val="none" w:sz="0" w:space="0" w:color="auto"/>
        <w:bottom w:val="none" w:sz="0" w:space="0" w:color="auto"/>
        <w:right w:val="none" w:sz="0" w:space="0" w:color="auto"/>
      </w:divBdr>
    </w:div>
    <w:div w:id="245386638">
      <w:bodyDiv w:val="1"/>
      <w:marLeft w:val="0"/>
      <w:marRight w:val="0"/>
      <w:marTop w:val="0"/>
      <w:marBottom w:val="0"/>
      <w:divBdr>
        <w:top w:val="none" w:sz="0" w:space="0" w:color="auto"/>
        <w:left w:val="none" w:sz="0" w:space="0" w:color="auto"/>
        <w:bottom w:val="none" w:sz="0" w:space="0" w:color="auto"/>
        <w:right w:val="none" w:sz="0" w:space="0" w:color="auto"/>
      </w:divBdr>
    </w:div>
    <w:div w:id="296880191">
      <w:bodyDiv w:val="1"/>
      <w:marLeft w:val="0"/>
      <w:marRight w:val="0"/>
      <w:marTop w:val="0"/>
      <w:marBottom w:val="0"/>
      <w:divBdr>
        <w:top w:val="none" w:sz="0" w:space="0" w:color="auto"/>
        <w:left w:val="none" w:sz="0" w:space="0" w:color="auto"/>
        <w:bottom w:val="none" w:sz="0" w:space="0" w:color="auto"/>
        <w:right w:val="none" w:sz="0" w:space="0" w:color="auto"/>
      </w:divBdr>
    </w:div>
    <w:div w:id="414327038">
      <w:bodyDiv w:val="1"/>
      <w:marLeft w:val="0"/>
      <w:marRight w:val="0"/>
      <w:marTop w:val="0"/>
      <w:marBottom w:val="0"/>
      <w:divBdr>
        <w:top w:val="none" w:sz="0" w:space="0" w:color="auto"/>
        <w:left w:val="none" w:sz="0" w:space="0" w:color="auto"/>
        <w:bottom w:val="none" w:sz="0" w:space="0" w:color="auto"/>
        <w:right w:val="none" w:sz="0" w:space="0" w:color="auto"/>
      </w:divBdr>
    </w:div>
    <w:div w:id="622544799">
      <w:bodyDiv w:val="1"/>
      <w:marLeft w:val="0"/>
      <w:marRight w:val="0"/>
      <w:marTop w:val="0"/>
      <w:marBottom w:val="0"/>
      <w:divBdr>
        <w:top w:val="none" w:sz="0" w:space="0" w:color="auto"/>
        <w:left w:val="none" w:sz="0" w:space="0" w:color="auto"/>
        <w:bottom w:val="none" w:sz="0" w:space="0" w:color="auto"/>
        <w:right w:val="none" w:sz="0" w:space="0" w:color="auto"/>
      </w:divBdr>
    </w:div>
    <w:div w:id="643000071">
      <w:bodyDiv w:val="1"/>
      <w:marLeft w:val="0"/>
      <w:marRight w:val="0"/>
      <w:marTop w:val="0"/>
      <w:marBottom w:val="0"/>
      <w:divBdr>
        <w:top w:val="none" w:sz="0" w:space="0" w:color="auto"/>
        <w:left w:val="none" w:sz="0" w:space="0" w:color="auto"/>
        <w:bottom w:val="none" w:sz="0" w:space="0" w:color="auto"/>
        <w:right w:val="none" w:sz="0" w:space="0" w:color="auto"/>
      </w:divBdr>
    </w:div>
    <w:div w:id="651063459">
      <w:bodyDiv w:val="1"/>
      <w:marLeft w:val="0"/>
      <w:marRight w:val="0"/>
      <w:marTop w:val="0"/>
      <w:marBottom w:val="0"/>
      <w:divBdr>
        <w:top w:val="none" w:sz="0" w:space="0" w:color="auto"/>
        <w:left w:val="none" w:sz="0" w:space="0" w:color="auto"/>
        <w:bottom w:val="none" w:sz="0" w:space="0" w:color="auto"/>
        <w:right w:val="none" w:sz="0" w:space="0" w:color="auto"/>
      </w:divBdr>
    </w:div>
    <w:div w:id="672689131">
      <w:bodyDiv w:val="1"/>
      <w:marLeft w:val="0"/>
      <w:marRight w:val="0"/>
      <w:marTop w:val="0"/>
      <w:marBottom w:val="0"/>
      <w:divBdr>
        <w:top w:val="none" w:sz="0" w:space="0" w:color="auto"/>
        <w:left w:val="none" w:sz="0" w:space="0" w:color="auto"/>
        <w:bottom w:val="none" w:sz="0" w:space="0" w:color="auto"/>
        <w:right w:val="none" w:sz="0" w:space="0" w:color="auto"/>
      </w:divBdr>
    </w:div>
    <w:div w:id="736393171">
      <w:bodyDiv w:val="1"/>
      <w:marLeft w:val="0"/>
      <w:marRight w:val="0"/>
      <w:marTop w:val="0"/>
      <w:marBottom w:val="0"/>
      <w:divBdr>
        <w:top w:val="none" w:sz="0" w:space="0" w:color="auto"/>
        <w:left w:val="none" w:sz="0" w:space="0" w:color="auto"/>
        <w:bottom w:val="none" w:sz="0" w:space="0" w:color="auto"/>
        <w:right w:val="none" w:sz="0" w:space="0" w:color="auto"/>
      </w:divBdr>
    </w:div>
    <w:div w:id="750661301">
      <w:bodyDiv w:val="1"/>
      <w:marLeft w:val="0"/>
      <w:marRight w:val="0"/>
      <w:marTop w:val="0"/>
      <w:marBottom w:val="0"/>
      <w:divBdr>
        <w:top w:val="none" w:sz="0" w:space="0" w:color="auto"/>
        <w:left w:val="none" w:sz="0" w:space="0" w:color="auto"/>
        <w:bottom w:val="none" w:sz="0" w:space="0" w:color="auto"/>
        <w:right w:val="none" w:sz="0" w:space="0" w:color="auto"/>
      </w:divBdr>
    </w:div>
    <w:div w:id="838617486">
      <w:bodyDiv w:val="1"/>
      <w:marLeft w:val="0"/>
      <w:marRight w:val="0"/>
      <w:marTop w:val="0"/>
      <w:marBottom w:val="0"/>
      <w:divBdr>
        <w:top w:val="none" w:sz="0" w:space="0" w:color="auto"/>
        <w:left w:val="none" w:sz="0" w:space="0" w:color="auto"/>
        <w:bottom w:val="none" w:sz="0" w:space="0" w:color="auto"/>
        <w:right w:val="none" w:sz="0" w:space="0" w:color="auto"/>
      </w:divBdr>
    </w:div>
    <w:div w:id="1095829832">
      <w:bodyDiv w:val="1"/>
      <w:marLeft w:val="0"/>
      <w:marRight w:val="0"/>
      <w:marTop w:val="0"/>
      <w:marBottom w:val="0"/>
      <w:divBdr>
        <w:top w:val="none" w:sz="0" w:space="0" w:color="auto"/>
        <w:left w:val="none" w:sz="0" w:space="0" w:color="auto"/>
        <w:bottom w:val="none" w:sz="0" w:space="0" w:color="auto"/>
        <w:right w:val="none" w:sz="0" w:space="0" w:color="auto"/>
      </w:divBdr>
    </w:div>
    <w:div w:id="1214152012">
      <w:bodyDiv w:val="1"/>
      <w:marLeft w:val="0"/>
      <w:marRight w:val="0"/>
      <w:marTop w:val="0"/>
      <w:marBottom w:val="0"/>
      <w:divBdr>
        <w:top w:val="none" w:sz="0" w:space="0" w:color="auto"/>
        <w:left w:val="none" w:sz="0" w:space="0" w:color="auto"/>
        <w:bottom w:val="none" w:sz="0" w:space="0" w:color="auto"/>
        <w:right w:val="none" w:sz="0" w:space="0" w:color="auto"/>
      </w:divBdr>
    </w:div>
    <w:div w:id="1310935627">
      <w:bodyDiv w:val="1"/>
      <w:marLeft w:val="0"/>
      <w:marRight w:val="0"/>
      <w:marTop w:val="0"/>
      <w:marBottom w:val="0"/>
      <w:divBdr>
        <w:top w:val="none" w:sz="0" w:space="0" w:color="auto"/>
        <w:left w:val="none" w:sz="0" w:space="0" w:color="auto"/>
        <w:bottom w:val="none" w:sz="0" w:space="0" w:color="auto"/>
        <w:right w:val="none" w:sz="0" w:space="0" w:color="auto"/>
      </w:divBdr>
    </w:div>
    <w:div w:id="1338070087">
      <w:bodyDiv w:val="1"/>
      <w:marLeft w:val="0"/>
      <w:marRight w:val="0"/>
      <w:marTop w:val="0"/>
      <w:marBottom w:val="0"/>
      <w:divBdr>
        <w:top w:val="none" w:sz="0" w:space="0" w:color="auto"/>
        <w:left w:val="none" w:sz="0" w:space="0" w:color="auto"/>
        <w:bottom w:val="none" w:sz="0" w:space="0" w:color="auto"/>
        <w:right w:val="none" w:sz="0" w:space="0" w:color="auto"/>
      </w:divBdr>
    </w:div>
    <w:div w:id="1350763440">
      <w:bodyDiv w:val="1"/>
      <w:marLeft w:val="0"/>
      <w:marRight w:val="0"/>
      <w:marTop w:val="0"/>
      <w:marBottom w:val="0"/>
      <w:divBdr>
        <w:top w:val="none" w:sz="0" w:space="0" w:color="auto"/>
        <w:left w:val="none" w:sz="0" w:space="0" w:color="auto"/>
        <w:bottom w:val="none" w:sz="0" w:space="0" w:color="auto"/>
        <w:right w:val="none" w:sz="0" w:space="0" w:color="auto"/>
      </w:divBdr>
    </w:div>
    <w:div w:id="1373962860">
      <w:bodyDiv w:val="1"/>
      <w:marLeft w:val="0"/>
      <w:marRight w:val="0"/>
      <w:marTop w:val="0"/>
      <w:marBottom w:val="0"/>
      <w:divBdr>
        <w:top w:val="none" w:sz="0" w:space="0" w:color="auto"/>
        <w:left w:val="none" w:sz="0" w:space="0" w:color="auto"/>
        <w:bottom w:val="none" w:sz="0" w:space="0" w:color="auto"/>
        <w:right w:val="none" w:sz="0" w:space="0" w:color="auto"/>
      </w:divBdr>
    </w:div>
    <w:div w:id="1383137728">
      <w:bodyDiv w:val="1"/>
      <w:marLeft w:val="0"/>
      <w:marRight w:val="0"/>
      <w:marTop w:val="0"/>
      <w:marBottom w:val="0"/>
      <w:divBdr>
        <w:top w:val="none" w:sz="0" w:space="0" w:color="auto"/>
        <w:left w:val="none" w:sz="0" w:space="0" w:color="auto"/>
        <w:bottom w:val="none" w:sz="0" w:space="0" w:color="auto"/>
        <w:right w:val="none" w:sz="0" w:space="0" w:color="auto"/>
      </w:divBdr>
    </w:div>
    <w:div w:id="1391659664">
      <w:bodyDiv w:val="1"/>
      <w:marLeft w:val="0"/>
      <w:marRight w:val="0"/>
      <w:marTop w:val="0"/>
      <w:marBottom w:val="0"/>
      <w:divBdr>
        <w:top w:val="none" w:sz="0" w:space="0" w:color="auto"/>
        <w:left w:val="none" w:sz="0" w:space="0" w:color="auto"/>
        <w:bottom w:val="none" w:sz="0" w:space="0" w:color="auto"/>
        <w:right w:val="none" w:sz="0" w:space="0" w:color="auto"/>
      </w:divBdr>
    </w:div>
    <w:div w:id="1580670597">
      <w:bodyDiv w:val="1"/>
      <w:marLeft w:val="0"/>
      <w:marRight w:val="0"/>
      <w:marTop w:val="0"/>
      <w:marBottom w:val="0"/>
      <w:divBdr>
        <w:top w:val="none" w:sz="0" w:space="0" w:color="auto"/>
        <w:left w:val="none" w:sz="0" w:space="0" w:color="auto"/>
        <w:bottom w:val="none" w:sz="0" w:space="0" w:color="auto"/>
        <w:right w:val="none" w:sz="0" w:space="0" w:color="auto"/>
      </w:divBdr>
    </w:div>
    <w:div w:id="1601909083">
      <w:bodyDiv w:val="1"/>
      <w:marLeft w:val="0"/>
      <w:marRight w:val="0"/>
      <w:marTop w:val="0"/>
      <w:marBottom w:val="0"/>
      <w:divBdr>
        <w:top w:val="none" w:sz="0" w:space="0" w:color="auto"/>
        <w:left w:val="none" w:sz="0" w:space="0" w:color="auto"/>
        <w:bottom w:val="none" w:sz="0" w:space="0" w:color="auto"/>
        <w:right w:val="none" w:sz="0" w:space="0" w:color="auto"/>
      </w:divBdr>
    </w:div>
    <w:div w:id="1617906643">
      <w:bodyDiv w:val="1"/>
      <w:marLeft w:val="0"/>
      <w:marRight w:val="0"/>
      <w:marTop w:val="0"/>
      <w:marBottom w:val="0"/>
      <w:divBdr>
        <w:top w:val="none" w:sz="0" w:space="0" w:color="auto"/>
        <w:left w:val="none" w:sz="0" w:space="0" w:color="auto"/>
        <w:bottom w:val="none" w:sz="0" w:space="0" w:color="auto"/>
        <w:right w:val="none" w:sz="0" w:space="0" w:color="auto"/>
      </w:divBdr>
    </w:div>
    <w:div w:id="1621261108">
      <w:bodyDiv w:val="1"/>
      <w:marLeft w:val="0"/>
      <w:marRight w:val="0"/>
      <w:marTop w:val="0"/>
      <w:marBottom w:val="0"/>
      <w:divBdr>
        <w:top w:val="none" w:sz="0" w:space="0" w:color="auto"/>
        <w:left w:val="none" w:sz="0" w:space="0" w:color="auto"/>
        <w:bottom w:val="none" w:sz="0" w:space="0" w:color="auto"/>
        <w:right w:val="none" w:sz="0" w:space="0" w:color="auto"/>
      </w:divBdr>
    </w:div>
    <w:div w:id="1702704056">
      <w:bodyDiv w:val="1"/>
      <w:marLeft w:val="0"/>
      <w:marRight w:val="0"/>
      <w:marTop w:val="0"/>
      <w:marBottom w:val="0"/>
      <w:divBdr>
        <w:top w:val="none" w:sz="0" w:space="0" w:color="auto"/>
        <w:left w:val="none" w:sz="0" w:space="0" w:color="auto"/>
        <w:bottom w:val="none" w:sz="0" w:space="0" w:color="auto"/>
        <w:right w:val="none" w:sz="0" w:space="0" w:color="auto"/>
      </w:divBdr>
    </w:div>
    <w:div w:id="1919554118">
      <w:bodyDiv w:val="1"/>
      <w:marLeft w:val="0"/>
      <w:marRight w:val="0"/>
      <w:marTop w:val="0"/>
      <w:marBottom w:val="0"/>
      <w:divBdr>
        <w:top w:val="none" w:sz="0" w:space="0" w:color="auto"/>
        <w:left w:val="none" w:sz="0" w:space="0" w:color="auto"/>
        <w:bottom w:val="none" w:sz="0" w:space="0" w:color="auto"/>
        <w:right w:val="none" w:sz="0" w:space="0" w:color="auto"/>
      </w:divBdr>
    </w:div>
    <w:div w:id="1978799154">
      <w:bodyDiv w:val="1"/>
      <w:marLeft w:val="0"/>
      <w:marRight w:val="0"/>
      <w:marTop w:val="0"/>
      <w:marBottom w:val="0"/>
      <w:divBdr>
        <w:top w:val="none" w:sz="0" w:space="0" w:color="auto"/>
        <w:left w:val="none" w:sz="0" w:space="0" w:color="auto"/>
        <w:bottom w:val="none" w:sz="0" w:space="0" w:color="auto"/>
        <w:right w:val="none" w:sz="0" w:space="0" w:color="auto"/>
      </w:divBdr>
    </w:div>
    <w:div w:id="2036613126">
      <w:bodyDiv w:val="1"/>
      <w:marLeft w:val="0"/>
      <w:marRight w:val="0"/>
      <w:marTop w:val="0"/>
      <w:marBottom w:val="0"/>
      <w:divBdr>
        <w:top w:val="none" w:sz="0" w:space="0" w:color="auto"/>
        <w:left w:val="none" w:sz="0" w:space="0" w:color="auto"/>
        <w:bottom w:val="none" w:sz="0" w:space="0" w:color="auto"/>
        <w:right w:val="none" w:sz="0" w:space="0" w:color="auto"/>
      </w:divBdr>
    </w:div>
    <w:div w:id="20613228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uwo.ca/tsc/graduate_student_programs/pdf/LearningObjectivesArreola.pdf" TargetMode="External"/><Relationship Id="rId6" Type="http://schemas.openxmlformats.org/officeDocument/2006/relationships/hyperlink" Target="http://www.au.af.mil/au/awc/awcgate/edref/bloom.htm" TargetMode="External"/><Relationship Id="rId7" Type="http://schemas.openxmlformats.org/officeDocument/2006/relationships/hyperlink" Target="http://www.teamenterprises.co.uk/wp-content/uploads/2016/10/TE-Effective-use-of-Performance-Objectives-for-Learning-and-Assessment.docx" TargetMode="External"/><Relationship Id="rId8" Type="http://schemas.openxmlformats.org/officeDocument/2006/relationships/hyperlink" Target="http://www.usu.edu/aaa/idea_faculty_faq.cf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872</Words>
  <Characters>4976</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USU Online Course Objectives Worksheet</vt:lpstr>
      <vt:lpstr>    Overview: Writing Excellent Objectives</vt:lpstr>
      <vt:lpstr>    Write Your Objectives</vt:lpstr>
      <vt:lpstr>    IDEA Objectives</vt:lpstr>
    </vt:vector>
  </TitlesOfParts>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Paskett</dc:creator>
  <cp:keywords/>
  <dc:description/>
  <cp:lastModifiedBy>Jennifer Paskett</cp:lastModifiedBy>
  <cp:revision>11</cp:revision>
  <dcterms:created xsi:type="dcterms:W3CDTF">2017-02-09T19:08:00Z</dcterms:created>
  <dcterms:modified xsi:type="dcterms:W3CDTF">2017-02-10T21:06:00Z</dcterms:modified>
</cp:coreProperties>
</file>